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A/3339/2011 vom 29. März 2012</w:t>
      </w:r>
    </w:p>
    <w:p>
      <w:r>
        <w:t>GE Cour de justice, 2012-03-29, FR</w:t>
      </w:r>
    </w:p>
    <w:p>
      <w:r>
        <w:rPr>
          <w:b/>
        </w:rPr>
        <w:t xml:space="preserve">Quelle: </w:t>
      </w:r>
      <w:r>
        <w:t>https://mcp.opencaselaw.ch/entscheid/ge_gerichte_A_3339_2011</w:t>
      </w:r>
    </w:p>
    <w:p>
      <w:r>
        <w:t>FR: GE_GERICHTE A/3339/2011 du 29 mars 2012</w:t>
      </w:r>
    </w:p>
    <w:p>
      <w:r>
        <w:t>IT: GE_GERICHTE A/3339/2011 del 29 marzo 2012</w:t>
      </w:r>
    </w:p>
    <w:p>
      <w:pPr>
        <w:pStyle w:val="Heading2"/>
      </w:pPr>
      <w:r>
        <w:t>Volltext</w:t>
      </w:r>
    </w:p>
    <w:p>
      <w:r>
        <w:t>Genève Cour de justice (Cour de droit public) Chambre des assurances sociales 29.03.2012 A/3339/2011</w:t>
      </w:r>
    </w:p>
    <w:p>
      <w:r>
        <w:t>A/3339/2011 ATAS/448/2012 du 29.03.2012 ( LPP ) , PARTAGE LPP En fait En droit RÉPUBLIQUE ET CANTON DE GENÈVE POUVOIR JUDICIAIRE A/3339/2011 ATAS/448/2012 COUR DE JUSTICE Chambre des assurances sociales Arrêt du 29 mars 2012 3ème Chambre En la cause Monsieur A_____________, domicilié à Chambésy Madame A_____________, domiciliée au Grand-Saconnex demandeurs contre FONDATION COLLECTIVE VITA, c/o ZÜRICH COMPAGNIE D’ASSURANCES SA, sise avenue Eugène-Pittard 16, 1206 Genève CAISSE DE RETRAITE DU GROUPE DSR, sise avenue de Riond-Bosson 14, 1110 Morges défenderesses EN FAIT Par jugement du 4 février 2010, la 19ème chambre du Tribunal de première instance a prononcé le divorce de Madame A_____________, née B_____________ en 1968, et Monsieur A_____________, né en 1952, mariés en date du 6 mars 1999. Le divorce est entré en force en date du 11 mars 2010. Saisie d’un recours sur la question du partage des avoirs de prévoyance, notamment, la Cour de justice a rendu en date du 19 novembre 2010 un arrêt au terme duquel elle a ordonné le partage par moitié des avoirs de prévoyance professionnelle acquis par chacun des époux durant le mariage. Cet arrêt est entré en force - sur cette question - le 11 janvier 2011. La cause a été transmise à la Cour de céans pour exécution du partage. La Cour de céans a sollicité des parties le nom de leur institution de prévoyance, puis a interpellé les institutions défenderesses en les priant de lui communiquer les montants des avoirs LPP des parties acquis durant le mariage, soit entre le 6 mars 1999 et le 11 mars 2010. S'agissant du demandeur, il est apparu, après consultation du rassemblement de ses comptes individuels : - qu'au moment du mariage et jusqu’en 2010, il a travaillé pour X_____________ SA et a été affilié à la ZÜRICH auprès de laquelle il a accumulé durant le mariage un avoir de 45'223 fr. (cf. courrier de ZH du 21 février 2012), - qu'il a également été membre de L’ASSOCIATION XA_____________ àGenève mais sans être affilié au 2ème pilier (cf. courrier de l’association du 13 février 2012). Quant à la demanderesse, il s'est avéré, après consultation du rassemblement de ses comptes individuels : - qu'elle a travaillé de 1999 à 2000 pour Y_____________ Sàrl mais sans réaliser un revenu suffisant pour être soumis à cotisations ; - qu'après une période de chômage, elle a été affiliée, en 2005, à la CAISSE DE RETRAITE DU GROUPE Z__________, auprès de laquelle elle a accumulé un avoir qui s’élevait, en date du 11 mars 2010, à 24'547 fr. (cf. courrier de la caisse du 12 janvier 2012) ; - qu’elle a également été affiliée, en février et mars 2009, à la FONDATION COMMUNE LPP POUR LE TRAVAIL TEMPORAIRE, laquelle a transmis son avoir à la DSR (cf. courrier du 27 janvier 2012).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6 mars 1999, date du mariage, d’autre part le 11 mars 2010, date à laquelle le divorce est devenu définitif. Selon les documents produits, la prestation acquise pendant le mariage par le demandeur s'élève à 45'223 fr. tandis que celle acquise par la demanderesse atteint la somme de 24'547 fr., les intérêts ayant déjà été calculés par les institutions de prévoyance défenderesses. Ainsi le demandeur doit à son ex-épouse le montant de 22'611 fr. 50 (45’223 : 2) alors qu'elle lui doit celui de 12'273 fr. 50 (24'547 : 2), de sorte que c’est en définitive le demandeur qui doit à son ex-épouse le montant de 10'338 fr. (22'611.50 - 12'273.50).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COLLECTIVE VITA à transférer, du compte de Monsieur A_____________, la somme de 10’338 fr. à la CAISSE DE RETRAITE DU GROUPE X__________, en faveur de Madame A_____________, née B_____________, ainsi que des intérêts compensatoires au sens des considérants, dès le 12 mars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