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A/3323/2025 vom 11. Dezember 2025</w:t>
      </w:r>
    </w:p>
    <w:p>
      <w:r>
        <w:t>GE Cour de justice, 2025-12-11, FR</w:t>
      </w:r>
    </w:p>
    <w:p>
      <w:r>
        <w:rPr>
          <w:b/>
        </w:rPr>
        <w:t xml:space="preserve">Quelle: </w:t>
      </w:r>
      <w:r>
        <w:t>https://mcp.opencaselaw.ch/entscheid/ge_gerichte_A_3323_2025</w:t>
      </w:r>
    </w:p>
    <w:p>
      <w:r>
        <w:t>FR: GE_GERICHTE A/3323/2025 du 11 décembre 2025</w:t>
      </w:r>
    </w:p>
    <w:p>
      <w:r>
        <w:t>IT: GE_GERICHTE A/3323/2025 del 11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du refus de l’intimé d'accorder à la recourante la remise de son obligation de restituer la somme de CHF 21'747.90, au motif qu'elle ne remplissait pas la condition de la bonne foi.</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3.2</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directives concernant les prestations complémentaires à l'AVS et à l'AI (ci‑après : DPC), valables dès le 12 avril 2011 (état au 1 er janvier 2025),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prestations complémentaires, n’annonce pas une erreur de calcul qu’elle aurait facilement pu reconnaître (DPC, n. 4652.03).</w:t>
      </w:r>
    </w:p>
    <w:p>
      <w:r>
        <w:rPr>
          <w:b/>
        </w:rPr>
        <w:t>E. 4.1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le SPC a pris connaissance du décès du père de la bénéficiaire, de manière quelque peu fortuite, à réception de la correspondance de la recourante du 17 mai 2022, qui n’avait d’ailleurs pas pour objet d’informer le SPC, mais correspondait à une demande de remise, dont le texte mentionnait le décès du père de la bénéficiaire, survenu le 8 décembre 2021, entre autres informations. Au regard de son obligation d’information rapide et spontanée, il incombait à la recourante d'informer immédiatement le SPC de cette nouvelle situation ( cf . art. 24 de l’ordonnance sur les prestations complémentaires à l’assurance-vieillesse, survivants et invalidité du 15 janvier 1971 [OPC-AVS/AI - RS 831.301]), ce qu'elle n'a fait que plus de cinq mois après cet événement.</w:t>
      </w:r>
    </w:p>
    <w:p>
      <w:r>
        <w:rPr>
          <w:b/>
        </w:rPr>
        <w:t>E. 5.2</w:t>
      </w:r>
    </w:p>
    <w:p>
      <w:r>
        <w:t>Or, le Tribunal fédéral a déjà eu l'occasion de juger qu'un délai de deux mois pour se conformer à son obligation de renseigner l'administration d'une augmentation de ses revenus relevait d'une négligence grave excluant la bonne foi ( cf. arrêt du Tribunal fédéral 8C _640/2023 du 19 avril 2024 consid. 6 et 8C_766/2007 du 17 avril 2008 consid. 4.3). Par ailleurs, la recourante ne pouvait ignorer que la perspective de percevoir une partie de l’héritage de son défunt père allait modifier sa fortune, ce qui avait pour corollaire une adaptation des prestations complémentaires ; partant, elle s’exposait à devoir très probablement restituer le trop-perçu. Il s'ensuit que la recourante ne peut pas se prévaloir de sa bonne foi, en l'absence d'autres circonstances particulières, ce qui exclut la remise de l'obligation de restituer.</w:t>
      </w:r>
    </w:p>
    <w:p>
      <w:r>
        <w:rPr>
          <w:b/>
        </w:rPr>
        <w:t>E. 6.1</w:t>
      </w:r>
    </w:p>
    <w:p>
      <w:r>
        <w:t>À l’aune de ce qui précède, la chambre de céans n’a d’autre choix que de confirmer la décision du SPC et de rejeter le recours.</w:t>
      </w:r>
    </w:p>
    <w:p>
      <w:r>
        <w:rPr>
          <w:b/>
        </w:rPr>
        <w:t>E. 6.2</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