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A/3320/2020 vom 21. Dezember 2021</w:t>
      </w:r>
    </w:p>
    <w:p>
      <w:r>
        <w:t>GE Cour de justice, 2021-12-21, FR</w:t>
      </w:r>
    </w:p>
    <w:p>
      <w:r>
        <w:rPr>
          <w:b/>
        </w:rPr>
        <w:t xml:space="preserve">Quelle: </w:t>
      </w:r>
      <w:r>
        <w:t>https://mcp.opencaselaw.ch/entscheid/ge_gerichte_A_3320_2020</w:t>
      </w:r>
    </w:p>
    <w:p>
      <w:r>
        <w:t>FR: GE_GERICHTE A/3320/2020 du 21 décembre 2021</w:t>
      </w:r>
    </w:p>
    <w:p>
      <w:r>
        <w:t>IT: GE_GERICHTE A/3320/2020 del 21 dicembre 2021</w:t>
      </w:r>
    </w:p>
    <w:p>
      <w:pPr>
        <w:pStyle w:val="Heading2"/>
      </w:pPr>
      <w:r>
        <w:t>Erwägungen</w:t>
      </w:r>
    </w:p>
    <w:p>
      <w:r>
        <w:rPr>
          <w:b/>
        </w:rPr>
        <w:t>E. 4</w:t>
      </w:r>
    </w:p>
    <w:p>
      <w:r>
        <w:t>a. Selon l’art. 13 al. 1 LHID, l’impôt sur la fortune a pour objet l’ensemble de la fortune nette. Celle-ci est estimée en principe à la valeur vénale, la valeur de rendement pouvant être prise en compte de façon appropriée (art. 14 al. 1 LHID).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1er octobre 2018 consid. 5.1). b. 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 L’art. 50 LIPP établit les principes d’évaluation des immeubles situés dans le canton, qui ont été jugés conformes à l’art. 14 LHID (ATF 134 II 2017 consid. 3 ; arrêt du Tribunal fédéral 2C_194/2018 du 1 er octobre 2018 consid. 5.3). L'art. 51 LIPP prévoit que le coût des constructions et des travaux à plus-value sont intégrés dans la valeur fiscale du bâtiment. c. 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ATA/223/2019 du 5 mars 2019 consid. 6 ; ATA/71/2018 du 23 janvier 2018 consid. 7b ; ATA/45/2018 du 16 janvier 2018 consid. 4b).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précité consid. 4b ; ATA/960/2014 consid. 5b ; RDAF 2000 II p. 280). La notion de « changements importants » de la valeur d'un immeuble doit être interprétée de manière restrictive. Elle ne couvre que les changements objectifs, matériels et importants dans la valeur de la propriété. Tel n'est notamment pas le cas des modifications conjoncturelles du marché immobilier ( ATA/71/2018 précité consid. 7b ; ATA/618/2014 du 12 août 2014 consid. 2e). Le Tribunal fédéral a déjà jugé qu'une stricte application des règles de procédure, notamment celles relatives aux délais, était justifiée par des motifs d'égalité de traitement et par un intérêt public lié à une bonne administration de la justice et à la sécurité du droit. Il a dès lors écarté le grief d'une recourante qui se plaignait de formalisme excessif en lien avec le délai pour demander l'expertise du bien (arrêt du Tribunal fédéral 2C_734/2008 précité consid. 6.2). 4) En l'espèce, il n'est pas contesté que les recourants n'ont pas requis une nouvelle estimation de leur bien avant le 31 décembre des années fiscales concernées, et rien ne permet de s'écarter de la solution retenue par l'AFC-GE qui s'avère conforme à la jurisprudence précitée. En outre, rien ne permet de retenir que les recourants n'auraient pas pu se prévaloir dans ce délai, mais uniquement en 2019, des éléments qui justifieraient, selon eux, une nouvelle estimation, soit le fait que certains travaux luxueux ne pourraient être absorbés par le marché de l'immobilier. En effet, d'une part, à teneur des déclarations fiscales, les travaux de construction avaient pris fin en 2017 déjà et le tassement du marché immobilier des objets de prestige, au demeurant non démontré par les recourants, ne pourrait être qualifié de changement important de la valeur du bien, comme vu ci-dessus. Quant aux valeurs retenues dans les taxations 2017 et 2018, s'agissant du bien immobilier, elles correspondent à la valeur du terrain nu de CHF 4'162'000.-, ayant remplacé la valeur d'acquisition de CHF 7'200'000.- après démolition du bâtiment, à laquelle ont été ajoutés CHF 8'762'253.- qui correspondent au montant des travaux de démolition et de reconstruction tels que déclarés par les recourants. Il appert ainsi que les montants retenus par l'AFC-GE l'ont été conformément aux art. 49 ss LIPP. 5) Infondé, le recours sera par conséquent rejeté. Vu l'issue du litige, un émolument de CHF 1'000.- sera mis à la charge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