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A/3319/2007 vom 28. März 2007</w:t>
      </w:r>
    </w:p>
    <w:p>
      <w:r>
        <w:t>GE Cour de justice, 2007-03-28, FR</w:t>
      </w:r>
    </w:p>
    <w:p>
      <w:r>
        <w:rPr>
          <w:b/>
        </w:rPr>
        <w:t xml:space="preserve">Quelle: </w:t>
      </w:r>
      <w:r>
        <w:t>https://mcp.opencaselaw.ch/entscheid/ge_gerichte_A_3319_2007</w:t>
      </w:r>
    </w:p>
    <w:p>
      <w:r>
        <w:t>FR: GE_GERICHTE A/3319/2007 du 28 mars 2007</w:t>
      </w:r>
    </w:p>
    <w:p>
      <w:r>
        <w:t>IT: GE_GERICHTE A/3319/2007 del 28 marzo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2 février 1990,d’autre part le 16 mai 2007, date à laquelle le jugement de divorce est devenu exécutoire. Selon les documents produits, la prestation acquise pendant le mariage par Monsieur C__________ est de 88'175.- fr., les intérêts ayant déjà été calculés par l’institution de prévoyance défenderesse. Madame C__________ n’a aucun avoir de prévoyance. En particulier, les missions temporaires qu’elle a effectuées l’ont été pour une durée inférieure à trois mois. Ainsi Monsieur Théophile C__________ doit à son ex-épouse le montant de 44'087 fr. 50 (88'175.- fr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En vertu de l'art. 22 al. 1 LFLP, les dispositions 3 à 5 de cette loi s'appliquent par analogie au montant à transférer, lorsque les prestations de sortie sont partagées après un divorce. 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w:t>
      </w:r>
    </w:p>
    <w:p>
      <w:r>
        <w:rPr>
          <w:b/>
        </w:rPr>
        <w:t>E. 6</w:t>
      </w:r>
    </w:p>
    <w:p>
      <w:r>
        <w:t>Il incombe ainsi à la caisse de pension CHOPARD de requérir l’ouverture d’un compte au nom de Madame __________ auprès de la Fondation institution supplétive LPP afin que le montant dû lui soit versé.</w:t>
      </w:r>
    </w:p>
    <w:p>
      <w:r>
        <w:rPr>
          <w:b/>
        </w:rPr>
        <w:t>E. 7</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