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A/3316/2017 vom 9. November 2017</w:t>
      </w:r>
    </w:p>
    <w:p>
      <w:r>
        <w:t>GE Cour de justice, 2017-11-09, FR</w:t>
      </w:r>
    </w:p>
    <w:p>
      <w:r>
        <w:rPr>
          <w:b/>
        </w:rPr>
        <w:t xml:space="preserve">Quelle: </w:t>
      </w:r>
      <w:r>
        <w:t>https://mcp.opencaselaw.ch/entscheid/ge_gerichte_A_3316_2017</w:t>
      </w:r>
    </w:p>
    <w:p>
      <w:r>
        <w:t>FR: GE_GERICHTE A/3316/2017 du 9 novembre 2017</w:t>
      </w:r>
    </w:p>
    <w:p>
      <w:r>
        <w:t>IT: GE_GERICHTE A/3316/2017 del 9 novembre 2017</w:t>
      </w:r>
    </w:p>
    <w:p>
      <w:pPr>
        <w:pStyle w:val="Heading2"/>
      </w:pPr>
      <w:r>
        <w:t>Regeste</w:t>
      </w:r>
    </w:p>
    <w:p>
      <w:r>
        <w:t>Retard injustifié | LP.17.3</w:t>
      </w:r>
    </w:p>
    <w:p>
      <w:pPr>
        <w:pStyle w:val="Heading2"/>
      </w:pPr>
      <w:r>
        <w:t>Erwägungen</w:t>
      </w:r>
    </w:p>
    <w:p>
      <w:r>
        <w:rPr>
          <w:b/>
        </w:rPr>
        <w:t>E. 6</w:t>
      </w:r>
    </w:p>
    <w:p>
      <w:r>
        <w:t>al. 1 et 3 et 7 al. 1 LaLP) contre des mesures prises par l'Office qui ne peuvent être attaquées par la voie judiciaire (art. 17 al. 1 LP); Que la plainte peut être déposée en tout temps lorsque le plaignant fait valoir un déni de justice ou un retard à statuer (art. 17 al. 3 LP); Qu'en l'espèce, la plaignante fait valoir un retard injustifié, de sorte que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Qu'à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Que lorsque la saisie permet de constater l'absence de biens saisissables, le procès-verbal de saisie vaut acte de défaut de biens (art. 115 al. 1 LP). Une copie doit en être adressée "sans retard" aux créanciers et au débiteur (art. 114 LP), sans qu'il faille attendre l'expiration du délai de participation de trente jours (WERNLI, in KUKO SchKG, n. 3 ad art. 114 LP); Qu'en l'espèce, même en tenant compte des féries et de l'absence de collaboration du débiteur, le délai de onze mois (mi-septembre à mi-août) consacré aux vérifications usuelles (compétence, validité formelle de la réquisition, etc.), à l'envoi d'un avis de saisie et d'une sommation, puis à une demande de renseignements auprès de tiers, n'est manifestement pas compatible avec l'exigence de célérité et de diligence imposée par l'art. 89 LP; Qu'il convient de constater ce retard injustifié; Qu'en revanche, peu avant la clôture de l'instruction de la cause, l'Office a pu confirmer que le procès-verbal de saisie, valant acte de défaut de biens, sera communiqué à la créancière très prochainement, l'Hospice général ayant communiqué les pièces pertinentes à cet effet, de sorte qu'il n'y a pas lieu d'ordonner à l'Office de poursuivre la procédure de saisie; Que la procédure est gratuite (art. 20a al. 2 ch. 5 LP et art. 61 al. 2 let. a OELP). * * * * * PAR CES MOTIFS, La Chambre de surveillance : A la forme : Déclare recevable la plainte formée le 10 août 2017 par l'ETAT DE VAUD pour retard injustifié dans la poursuite n° 15 xxxx91 V. Au fond : Constate que l'Office a tardé à traiter la réquisition de continuer cette poursuite. Siégeant : Madame Nathalie RAPP, présidente; Monsieur Georges ZUFFEREY et Monsieur Christian CHAVAZ,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