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A/3313/2018 vom 20. Dezember 2019</w:t>
      </w:r>
    </w:p>
    <w:p>
      <w:r>
        <w:t>GE Cour de justice, 2019-12-20, FR</w:t>
      </w:r>
    </w:p>
    <w:p>
      <w:r>
        <w:rPr>
          <w:b/>
        </w:rPr>
        <w:t xml:space="preserve">Quelle: </w:t>
      </w:r>
      <w:r>
        <w:t>https://mcp.opencaselaw.ch/entscheid/ge_gerichte_A_3313_2018</w:t>
      </w:r>
    </w:p>
    <w:p>
      <w:r>
        <w:t>FR: GE_GERICHTE A/3313/2018 du 20 décembre 2019</w:t>
      </w:r>
    </w:p>
    <w:p>
      <w:r>
        <w:t>IT: GE_GERICHTE A/3313/2018 del 20 dicembre 2019</w:t>
      </w:r>
    </w:p>
    <w:p>
      <w:pPr>
        <w:pStyle w:val="Heading2"/>
      </w:pPr>
      <w:r>
        <w:t>Erwägungen</w:t>
      </w:r>
    </w:p>
    <w:p>
      <w:r>
        <w:rPr>
          <w:b/>
        </w:rPr>
        <w:t>E. 1</w:t>
      </w:r>
    </w:p>
    <w:p>
      <w:r>
        <w:t>er septembre 2015 et 10 (recte : 20) janvier 2016 ne remplissaient pas les réquisits permettant de leur reconnaître valeur probante, de sorte qu'elle a renvoyé la cause à la SUVA pour instruction complémentaire sur la question de l'indemnité pour atteinte à l'intégrité, charge au médecin désigné par la SUVA de se prononcer de manière détaillée sur l'importance de cette atteinte et de justifier sa position en se référant à l'annexe 3 OLAA et à la table 7 établie par la SUVA. Non contesté, cet arrêt est entré en force. 24.    Dans un rapport du 13 octobre 2017 adressé au Dr D______, le docteur G______, radiologue, a relaté les résultats d'une IRM de la colonne cervicale et dorsale qu'il avait pratiquée le même jour et conclu à une double déformation scoliotique cervico-dorsale à convexité droite cervicale et convexité gauche dorsale haute, pouvant être de nature posturale. Pour le reste, l'imagerie mettait en lumière une rectitude cervicale, un ancien tassement des plateaux supérieurs de D5, D6 et D7, une protrusion discale postéro-latérale droite en C5-C6, peu sténosante. En revanche, il n'y avait pas d'autre lésion sténosante au niveau canalaire ou foraminal ni de hernie discale. 25.    Dans un rapport du 27 mars 2018, qui faisait suite à un examen de l'assuré pratiqué le 4 octobre 2017, le Dr D______ a établi un bilan complémentaire en vue de déterminer l'octroi éventuel d'une indemnité pour atteinte à l'intégrité. Après avoir résumé l'évolution du dossier, recueilli les plaintes de l'assuré (qui avaient pour objet des cervicalgies avant tout nocturnes, gênant le sommeil, irradiant vers l'épaule gauche et se dirigeant jusque dans le pouce), effectué des constatations cliniques et examiné le rapport IRM du 13 octobre 2017, le Dr D______ a considéré que l'assuré avait présenté, au niveau du rachis cervical, des fractures des épineuses de C7. Étant donné qu'elles étaient situées à distance du canal cervical, ces fractures ne se compliquaient pas d'un problème neurologique et guérissaient habituellement sans laisser de séquelle. La mobilité des deux épaules était complète et symétrique. Au niveau du rachis thoracique, le bilan iconographique récent par IRM avait confirmé des signes de discopathie en C5-C6, d'allure dégénérative, ainsi qu'un ancien tassement modéré du plateau supérieur de D6. Ce bilan IRM révélait également des fractures consolidées. 26.    Le 27 mars 2018 également, le Dr D______ a évalué l'atteinte à l'intégrité corporelle subie par l'assuré à 10 % en la motivant comme suit : compte tenu de l'absence de cyphose résiduelle, et puisqu'il s'agissait de la partie postérieure de la vertèbre et que la douleur rapportée était modérée, il y avait lieu de retenir un taux d'atteinte à l'intégrité de 5 % pour les suites du traumatisme du rachis cervical. Au niveau du rachis dorsal, il convenait également de retenir un taux de 5 % en raison d'une cyphose mesurée à 11° sur l'IRM et de la présence de douleurs modérées après mobilisation. Selon la table n°7 pour atteinte à l'intégrité dans les affections de la colonne vertébrale, l'ensemble conduisait à un taux global de 10 %. 27.    Par décision du 26 avril 2018, la SUVA a octroyé une indemnité pour atteinte à l'intégrité s'élevant à CHF 12'600.- (soit 10 % du montant maximum du gain annuel assuré à l'époque de l'accident du 11 février 2013) en se fondant sur les constatations médicales à l'issue du traitement. 28.    Le 25 mai 2018, l'assuré a formé opposition à cette décision et soutenu qu'il avait droit à une indemnité plus importante. 29.    Le 30 mai 2018, la SUVA a transmis à l'assuré une copie de l'appréciation du 27 mars 2018 de son médecin d'arrondissement et l'a invité, par pli du 3 juillet 2018, à motiver son opposition. 30.    Le 13 juillet 2018, l'assuré a complété son opposition en indiquant que ses douleurs résiduelles étaient permanentes, même au repos, et justifiaient par conséquent un taux de 10 % pour l'atteinte au rachis cervical. Pour le rachis dorsal, la cyphose de 11°, associée auxdites douleurs justifiait un taux de 15 %, de sorte que c'était un taux global de 25 % qu'il convenait de retenir dans le cas particulier. 31.    Le 20 août 2018, la doctoresse H______, spécialiste FMH en chirurgie générale et traumatologie et médecin-conseil du centre de compétence de la SUVA, a apprécié le cas en examinant divers documents d'imagerie antérieurs et postérieurs à l'accident du 11 février 2013. Alors que les premiers, datant de 2011, objectivaient déjà un non-alignement des apophyses épineuses, témoignant d'un remaniement scoliotique, les radiographies réalisées aux urgences des HUG le jour de l'accident révélaient des fractures de l'apophyse épineuse de C7, D1 et D2, de minimes tassements des plateaux supérieurs de D6, D7 et D8, ainsi qu'une scoliose dorsale. Une IRM effectuée en 2014, soit à un an de l'accident, montrait d'une part que les fractures des apophyses épineuses étaient consolidées et, d'autre part, que les séquelles des fractures du plateau supérieur de D6, D7 et D8 - plus précisément un minime tassement des plateaux supérieurs de D6, D7 et D8 - n'avaient pas entrainé de perte de hauteur notable du mur antérieur de ces vertèbres. La Dresse H______ a expliqué que suivant l'importance de la fracture, il pouvait y avoir un tassement, ce qui signifiait une perte de hauteur principalement du mur antérieur, entraînant une angulation et éventuellement une accentuation de la scoliose. En l'espèce toutefois, les IRM de 2013, 2014 et 2017 n'objectivaient pas de perte de hauteur et étaient superposables, de sorte qu'il ne pouvait y avoir d'aggravation de la scoliose déjà présente en 2011. Quant au remaniement du plateau supérieur de D8, il correspondait à un nodule de Schmorl d'origine dégénérative. En synthèse, dans la mesure où l'assuré souffrait d'une scoliose déjà présente au moment de l'accident, non aggravée par cet événement, il n'était pas justifié d'en tenir compte dans la détermination de l'indemnité pour atteinte à l'intégrité. En admettant que l'assuré présentait tout de même une « fracture tassement » correspondant à la catégorie « fractures cervicales dorsales ou lombaires » de la table 7 de la SUVA, et dont les douleurs après mobilisation pouvaient être rangées dans la sous-catégorie « + », pour laquelle la table 7 de la SUVA prévoyait un taux compris entre 0 et 5 %, il convenait d'arrêter ce taux à la limite supérieure de 5 % dans le cas particulier. Cependant, compte tenu de douleurs présentes non seulement à la colonne cervicale mais aussi à la colonne dorsale, l'indemnité due s'élevait à 10 %. La scoliose, qui était antérieure à l'accident, n'avait pas à être prise en considération. Dans ces circonstances, un taux de 25 % n'était certainement pas justifié. 32.    Par décision du 21 août 2018, la SUVA a rejeté l'opposition formée le 25 mai 2018 (et complétée le 13 juillet 2018). Sur une question essentiellement médicale et en l'absence d'avis contraire au dossier, il y avait lieu de se fonder sur l'estimation du Dr D______, entérinée par la Dresse H______ au terme d'une analyse fouillée et documentée. 33.    Le 24 septembre 2018, l'assuré, assisté de son conseil, a interjeté recours contre cette décision auprès de la chambre de céans en sollicitant préalablement un délai pour compléter son écriture et étayer celle-ci au moyen de documents médicaux complémentaires qu'il n'avait pas encore obtenus à ce jour. Sur le fond, il a conclu à l'annulation de la décision litigieuse et à l'octroi d'une indemnité pour atteinte à l'intégrité (ci-après : IPAI) de 25 %, compte tenu des nombreuses limitations qu'il subissait depuis l'accident du 11 février 2013. En effet, pour l'atteinte au rachis cervical, les douleurs résiduelles permanentes, présentes même au repos, justifiaient une IPAI de 10 %. Et pour le rachis dorsal, la cyphose de 11°, associée auxdites douleurs, justifiait un taux de 15 %. 34.    Après s'être vu accorder un second délai pour compléter son écriture, le recourant s'est adressé à la chambre de céans le 30 novembre 2018 pour rappeler que ses douleurs résiduelles étaient permanentes même au repos, ce qu'il offrait de prouver par son audition et celle de son médecin traitant, le Dr C______. Aussi, il a sollicité une nouvelle prolongation de délai « pour la production de pièces ». 35.    Par pli du 14 janvier 2019, l'assuré a indiqué que le Dr C______ n'avait pas donné suite à ses demandes d'informations médicales, raison pour laquelle il sollicitait l'audition de ce médecin afin qu'il puisse se prononcer sur une série de questions pré-formulées dans ce même courrier. 36.    Par courrier du 15 janvier 2019, la chambre de céans a fait remarquer au conseil du recourant que son courrier du 14 janvier 2019 ne correspondait pas à un complément de recours mais à une demande d'audition du médecin traitant de son mandant, mesure qui était prématurée dans la mesure où l'intimée n'avait pas encore été invité à répondre au recours, vu la teneur de celui-ci en l'état, malgré quatre prolongations de délai accordées pour compléter cette écriture. 37.    Le 25 janvier 2019, le recourant a complété son recours du 24 septembre 2018 en reprochant à la Dresse H______ d'avoir retenu, sans aucune motivation, que ses douleurs seraient modérées après mobilisation, correspondant à la catégorie « + » de la table 7. Or, la Dresse H______ ne mentionnait absolument pas ce qui lui permettait « d'affirmer et de quantifier ainsi les douleurs » qui, en réalité, étaient permanentes, même au repos et la nuit, et très intenses à l'effort, malgré des séances de chiropraxie hebdomadaires. La Dresse H______ retenait par ailleurs que la scoliose était préexistante à l'accident et non aggravée par ce dernier, ce qui semblait ressortir de l'appréciation des documents radiographiques figurant au dossier. Sur ce point, le recourant demandait à pouvoir produire l'avis de son médecin traitant qui le suivait déjà avant l'accident. 38.    Par réponse du 23 avril 2019, l'intimée a conclu au rejet du recours en se fondant notamment sur une appréciation complémentaire de la Dresse H______, datée du 11 avril 2019, dans laquelle ce médecin expliquait avoir retenu le classement des douleurs du recourant dans la catégorie « + » en se référant aux déclarations que celui-ci avait faites lors de l'examen médical du 4 octobre 2017 pratiqué par le Dr D______. Force était de constater que si le recourant présentait des douleurs, celles-ci n'étaient pas permanentes. Dans le cas contraire, il n'était pas possible de dormir. Or, en l'espèce, selon les explications données par le recourant au Dr D______, les douleurs occasionnaient deux à trois réveils, ce qui montrait qu'elles n'étaient ni permanentes ni d'intensité majeure. Cette conviction était également renforcée par le fait que : -          les consultations médicales n'étaient guère fréquentes, la dernière d'entre elles remontant au mois d'avril 2018 (Dr C______) ; -          la dernière facture de pharmacie honorée par l'intimée avait été émise en octobre 2015 et correspondait à du Magnesiocard® et du Calcimagon®, soit deux médicaments qui n'étaient pas des antalgiques. Il était certes possible de se procurer des antalgiques mineurs tels que le Dafalgan® sans prescription médicale, mais ce médicament suffisait seulement pour soulager des douleurs mineures ; -          le recourant bénéficiait certes de physiothérapie et/ou de chiropraxie de manière ponctuelle (et non quotidienne). Mais ceci ne pouvait en rien remplacer les antalgiques en cas de douleurs permanentes. En conclusion, la Dresse H______ ne pouvait que confirmer le taux d'IPAI de 10 % retenu lors de son appréciation du 20 août 2018. Pour sa part, l'intimée a ajouté que lorsque le recourant avait séjourné à la CRR du 5 février au 5 mars 2014, les médecins de cet établissement avaient relevé que la participation de l'intéressé aux thérapies avait été moyenne et que son attitude était restée très centrée sur la douleur. De plus, ses plaintes et limitations fonctionnelles ne s'expliquaient qu'en partie par les anomalies objectives constatées pendant le séjour. 39.    Par réplique du 11 juin 2019, le recourant a soutenu que les fractures vertébrales devaient être appréciées principalement selon les limitations fonctionnelles observées. Quant aux constatations faites sur la base des images radiographiques, elles ne revêtaient qu'un caractère secondaire. Alors que l'intimée avait refusé, par courrier du 1 er septembre 2015, la prise en charge d'un antalgique autre que le paracétamol, elle entendait à présent ériger ce refus en preuve du caractère supportable des douleurs. Soutenant qu'un avis chirurgical, sans examen ni anamnèse, ne permettait aucunement de juger l'intensité et la fréquence des douleurs, le recourant a maintenu sa demande de mesures d'instruction, plus particulièrement son offre de prouver par son audition, celle de ses proches et de son médecin traitant que ses douleurs résiduelles cervicales et dorsales étaient permanentes, même au repos et la nuit, et très intenses à l'effort. 40.    Par duplique du 4 juillet 2019, l'intimée a relevé que le recourant avait été examiné personnellement le 4 octobre 2017 par le Dr D______. Par ailleurs, l'examen des documents d'imagerie par la Dresse H______ avait confirmé les atteintes séquellaires et celles d'étiologue dégénérative. Dans ces circonstances, la cause avait été instruite à satisfaction de droit. 41.    Le 8 juillet 2019, une copie de ce courrier a été transmise, pour information, au recourant. 42.    Sur quoi, la cause a été gardée à juger.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l'assureur-accidents relative à des prestations prévues par la LAA. b. 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c. Aux termes de l'art. 60 LPGA, le recours doit être déposé dans les trente jours suivant la notification de la décision sujette à recours (al. 1). Les art. 38 à 41 sont applicables par analogie (al. 2). Selon l'art. 38 al. 3, 1 ère phrase LPGA, lorsque le délai échoit un samedi, un dimanche ou un jour férié selon le droit fédéral ou cantonal, son terme est reporté au premier jour ouvrable qui suit. d. Datée du 21 août 2018, la décision entreprise a été reçue le surlendemain par le conseil du recourant. Ayant commencé à courir le 24 août, le délai de recours est arrivé à échéance le samedi 22 septembre 2018, et a par conséquent été reporté au lundi suivant. Posté le 24 septembre 2018, le recours a été interjeté en temps utile. Respectant également les formes prescrites par la loi, il est recevable (art. 56 à 61 LPGA). 2.        Le litige concerne uniquement la quotité de l'IPAI due pour les suites de l'accident du 11 février 2013. 3.        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b.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 Margit MOSER-SZELESS, L'assurance-accidents obligatoire in: Schweizerisches Bundes-verwaltungsrecht (SBVR), 3 ème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113 V 218 consid. 4b; RAMA 2004 n° U 514 p. 415, U 134/03, consid. 5.2; RAMA 2000 n° U 362 p. 41).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 consid. 2.3; voir également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317). L'annexe 3 de l'OLAA comporte un barème - reconnu conforme à la loi et non exhaustif (ATF 124 V 29 consid. 1b ; ATF 124 V 209 consid. 4a/bb ; ATF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116 V 156 consid. 3a p. 157; RAMA 1998 n° U 296 p. 235, U 245/96, consid. 2a). Selon l'annexe 3 à l'OLAA, pour les atteintes à l'intégrité « désignées ci-après » (i.e : la liste figurant dans ladite annexe), l'indemnité s'élève en règle générale au pourcentage indiqué du montant maximum du gain assuré. Selon ladite liste, une atteinte très grave et douloureuse au fonctionnement de la colonne vertébrale donne droit à une IPAI de 50 %. L'annexe 3 à l'OLAA précise à son ch. 1 que pour les atteintes à l'intégrité qui sont spéciales ou qui ne figurent pas dans la liste, on appliquera le barème par analogie en tenant compte de la gravité de l'atteinte. c. Il ressort de la table 7 de la SUVA, traitant de l'atteinte à l'intégrité dans les affections de la colonne vertébrale, que les fractures cervicales, dorsales ou lombaires, sont susceptibles de donner droit à une IPAI en fonction de deux critères principaux, soit le fait de comprendre une cyphose ou scoliose d'au moins 10°, de 10-20° ou de plus de 21° d'une part, et l'intensité des douleurs fonctionnelles d'autre part, celles-ci étant classées sur une échelle allant de « 0 » (« pas de douleurs notables, limitation fonctionnelle minime et rare, survenant surtout aux efforts importants ») à « +++ » (« douleurs permanentes plus ou moins intenses, également la nuit et au repos ; charge supplémentaire impossible. Ces douleurs ne diminuent que lentement, après aggravation ») en passant par les niveaux « + » (« douleurs modérées après mobilisation, rares ou nulles au repos, disparaissant complètement et rapidement [1 à 2 jours] ») et « ++ » (« douleurs minimes permanentes, même au repos, accentuées par les efforts »). La table 7 précise encore que le score 0 de l'échelle vaut aussi pour l'appréciation de l'état antérieur (valeur nette) et que « selon l'OLAA, l'appréciation de l'atteinte à l'intégrité en cas d'affection vertébrale doit se fonder principalement sur les limitations fonctionnelles, les altérations anatomo-pathologiques (radiographies) n'étant qu'un critère secondaire ». Selon la jurisprudence, l'appréciation du taux d'atteinte à l'intégrité en cas d'affections de la colonne vertébrale repose dans une très large mesure sur l'intensité des douleurs qu'entraînent ces affections (cf. table 7 de la SUVA). Mais si un assuré présente de nombreux signes de non-organicité des douleurs qu'il exprime, il convient de relativiser ces douleurs pour procéder à l'évaluation de l'atteinte à l'intégrité due aux seules lésions de la colonne vertébrale (arrêt du Tribunal fédéral 8C_389/2009 du 7 avril 2010 consid. 5.3). 4.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5.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6.        À la suite de l'arrêt ATAS/447/2017 du 6 juin 2017, lui renvoyant la cause pour instruction complémentaire sur la question de l'IPAI, l'intimée a confié cette question au Dr D______. Celui-ci a pris connaissance et résumé les pièces du dossier, recueilli les plaintes du recourant et examiné ce dernier avant de conclure, à la lumière de la table 7 de la SUVA, que pour les suites du traumatisme du rachis cervical, l'absence de cyphose résiduelle et une douleur rapportée modérée le conduisaient à retenir un taux de 5 %, ce même taux étant également retenu pour le rachis dorsal en raison d'une cyphose mesurée à 11° sur l'IRM et de la présence de douleurs modérées après mobilisation. Suite à l'opposition du 25 mai 2018 à la décision du 26 avril 2018, octroyant au recourant une IPAI de 10 %, la Dresse H______ est également parvenue à la conclusion que cette indemnité devait être fixée à 10 %, soit 5 % pour le rachis cervical (pour une « fracture tassement » des plateaux supérieurs de D6, D7 et D8 sans aggravation de la scoliose préexistante, dont les douleurs après mobilisation pouvaient être cotées dans la catégorie « + ») et 5 % du fait de douleurs après mobilisation (cat. « + ») également présentes dans la colonne dorsale. Le 11 avril 2019, la Dresse H______ a encore indiqué les raisons pour lesquelles elle avait retenu des douleurs de la catégorie « + ». Dans la mesure où l'instruction médicale repose sur un examen du recourant - pratiqué le 4 octobre 2017 en pleine connaissance du dossier - et qu'à cette occasion, les plaintes de l'intéressé ont été recueillies par le Dr D______, le fait que l'appréciation concordante de la Dresse H______, qui est sérieusement motivée et convaincante, ait été établie sur la base du dossier n'empêche pas qu'on lui reconnaisse une pleine valeur probante (cf. ci-dessus : consid. 4b/bb). Par la voix de son conseil, le recourant soutient en substance que ses douleurs seraient intenses au point de justifier une IPAI de 25 % et que la catégorie « + » aurait été retenue sans la moindre motivation de la part des Drs D______ et H______. Ces critiques ne sont pas de nature à remettre en cause les conclusions concordantes de ces deux médecins. En effet, dès lors que la gravité de l'atteinte, dont dépend le montant de l'indemnité, se détermine uniquement sur la base de constatations médicales, la chambre de céans ne saurait se fonder sur de simples déclarations d'intenses douleurs faites au stade du recours - qui plus est non corroborées par le moindre avis médical -, ce d'autant que l'intéressé, qui a été entendu le 4 octobre 2017 par le Dr D______, a fait état de « douleurs essentiellement nocturnes, gênant le sommeil, occasionnant deux à trois épisodes de réveil [et] pendant la journée, une impression de tiraillement au niveau musculaire [sans] paresthésies dans le pouce », sans contester la teneur des propos ainsi rapportés. On rappellera par ailleurs qu'en mars 2014, les médecins de la CRR avaient estimé que l'attitude du recourant, au cours de son séjour d'un mois dans cet établissement, était restée très centrée sur la douleur alors que ses plaintes et limitations fonctionnelles ne s'expliquaient qu'en partie par les anomalies objectives constatées à cette époque. Dans ces circonstances, il n'y a pas lieu de mettre en doute l'appréciation de la Dresse H______, selon laquelle de prétendues « douleurs permanentes » - qui, aux dires du recourant, relèveraient de la catégorie « ++ » et l'empêcheraient de dormir -, ne sont pas compatibles avec le fait de ne connaître que deux à trois réveils par nuit, de se rendre seulement sporadiquement chez son médecin, de ne pas se faire prescrire de médication antalgique (à tout le moins autre que celle disponible en libre-service) et de se soumettre seulement ponctuellement à des séances de physiothérapie et/ou de chiropraxie, de telles séances ne pouvant en rien remplacer les antalgiques en cas de douleurs permanentes. On relèvera enfin qu'en l'absence d'avis médical produit par le recourant, indiquant quels éléments objectivement vérifiables auraient été ignorés par les Drs H______ et D______, la chambre de céans se dispensera, par appréciation anticipée des preuves, d'entendre les proches de l'intéressé et son médecin traitant, une telle audition ne permettant pas, en tout hypothèse, de remédier à l'absence de rapport médical contradictoire sur la question litigieuse (ci-dessus : consid. 4a), malgré cinq prolongations de délai accordées par la chambre de céans « pour compléter [le] recours et l'étayer de documents médicaux complémentaires » (cf. recours du 24 septembre 2018, p. 2). 7.        Mal fondé, le recours doit être rejeté. Représenté par un conseil mais n'obtenant pas gain de cause, la recourante n'a pas droit à des dépens (art. 61 let. g LPGA a contrario).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