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A/330/2008 vom 10. April 2008</w:t>
      </w:r>
    </w:p>
    <w:p>
      <w:r>
        <w:t>GE Cour de justice, 2008-04-10, FR</w:t>
      </w:r>
    </w:p>
    <w:p>
      <w:r>
        <w:rPr>
          <w:b/>
        </w:rPr>
        <w:t xml:space="preserve">Quelle: </w:t>
      </w:r>
      <w:r>
        <w:t>https://mcp.opencaselaw.ch/entscheid/ge_gerichte_A_330_2008</w:t>
      </w:r>
    </w:p>
    <w:p>
      <w:r>
        <w:t>FR: GE_GERICHTE A/330/2008 du 10 avril 2008</w:t>
      </w:r>
    </w:p>
    <w:p>
      <w:r>
        <w:t>IT: GE_GERICHTE A/330/2008 del 10 aprile 2008</w:t>
      </w:r>
    </w:p>
    <w:p>
      <w:pPr>
        <w:pStyle w:val="Heading2"/>
      </w:pPr>
      <w:r>
        <w:t>Regeste</w:t>
      </w:r>
    </w:p>
    <w:p>
      <w:r>
        <w:t>Séquestre. Exécution du séquestre. Objet du séquestre. | L'ordonnance de séquestre qui vise les avoirs détenus "pour le compte du débiteur" n'est pas exécutable. Il doit être fait mention du nom des tiers qui détiennent formellement des valeurs, en particulier des créances du débiteur, pour pouvoir procéder au séquestre. | LP.272.1.ch.3; LP.275; LP.276; LP. 278</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En l'espèce, l'objet de la plainte est la décision de l'Office du 22 janvier 2008 par laquelle il révoque l'exécution du séquestre n° 08 xxxx03 G auprès de B______ SA, B______, U______ SA et C______ dans la mesure où elle vise les avoirs inscrits " ou pour le compte de M. A______ " qui ne sont pas nommément désignés et maintient l'exécution du séquestre dans la mesure où il vise uniquement les avoirs du débiteur. En sa qualité de créancière, la plaignante est habilitée à agir par cette voie et sa plainte a été déposée en temps utile et dans les formes prescrites (art. 13 al. 1 et 2 LaLP ; art. 65 al. 1 et 2 LPA applicable par renvoi de l’art. 13 al. 5 LaLP). Elle est donc recevable. 2.a. Selon l'art. 276 LP, il est dressé procès-verbal du séquestre au pied de l'ordonnance de séquestre. Le procès-verbal contient la désignation des objets et de leur valeur. Il est transmis immédiatement à l'office des poursuites (al. 1). Celui-ci en notifie immédiatement une copie au créancier et au débiteur et informe les tiers dont les droits sont touchés par le séquestre (al. 2). La procédure d'opposition à l'ordonnance de séquestre (art. 278 LP) permet le contrôle de cette dernière par le juge quant aux conditions de fond du séquestre, y compris la désignation "des biens appartenant au débiteur" (art. 272 al. 1 ch. 3 LP) qui fait partie de l'ordonnance en vertu de l'art. 274 al. 2 ch. 4 LP. Les griefs qui concernent la propriété ou la titularité des biens à séquestrer doivent donc être invoqués dans la procédure d'opposition, celui d'abus de droit également. Les compétences des autorités de poursuites sont ainsi circonscrites aux mesures proprement dites d'exécution du séquestre, soit notamment, en vertu du renvoi de l'art. 275 LP, à celles concernant la saisissabilité des biens (art. 92 ss LP), l'ordre de la saisie (art. 95 ss LP), la sauvegarde des biens saisis (art. 98 ss LP) et la procédure de revendication (art. 106 ss LP). L'Office, qui ne peut donner suite à un ordre lacunaire ou imprécis, ni exécuter un séquestre entaché de nullité, conserve, par ailleurs, le droit de contrôler la régularité formelle de l'ordonnance de séquestre (Pierre-Robert Gilliéron , Le séquestre dans la LP révisée, in BlSchK 1995 p. 121 ss ; Michel Oschner , Exécution du séquestre, in JdT 2006 II 77 ; ATF 129 III 203 ). 2.b. La jurisprudence déduit de l'art. 272 al. 1 ch. 3 LP qu'il soit pour le moins fait mention du nom des tiers qui détiennent formellement des valeurs, en particulier des créances du débiteur, pour pouvoir procéder au séquestre. Ainsi, une banque -le devoir de renseigner dans la procédure de saisie valant par analogie pour l'exécution du séquestre (art. 275 LP)- doit donner des renseignements sur les objets et les biens à séquestrer mentionnés dans l'ordonnance de séquestre, y compris sur les objets ou les biens dont un tiers, et non le débiteur, paraît être nominalement l'ayant droit. En revanche, les autorités de poursuites ne doivent pas faire ou exiger des recherches à propos de valeurs qui ne sont pas mentionnées dans l'ordonnance de séquestre (Pierre-Robert Gilliéron , op. cit. ad art. 275 n° 50 ss ; ATF 130 III 579 , JdT 2005 II 100 ; ATF 126 III 95 , consid. 4a, JdT 2000 II 35 ; DCSO/594/2007 du 20 décembre 2007).</w:t>
      </w:r>
    </w:p>
    <w:p>
      <w:r>
        <w:rPr>
          <w:b/>
        </w:rPr>
        <w:t>E. 3</w:t>
      </w:r>
    </w:p>
    <w:p>
      <w:r>
        <w:t>Dans le cas particulier, il appert qu'il manque dans l'ordonnance de séquestre du 14 novembre 2007 le ou les noms des tiers qui détiendraient formellement la fortune du débiteur. Conformément à la jurisprudence rappelée ci-dessus, dite ordonnance n'était par conséquent pas exécutable en tant qu'elle visait les avoirs détenus " pour le compte du débiteur ", étant rappelé, qu'en l'absence de ces indications, les autorités de poursuites ne doivent pas, pour exécuter le séquestre, faire elles-mêmes les recherches sur les tiers en cause ni exiger des banques d'autres renseignements. Il s'ensuit que c'est à bon droit que l'Office a, par décision du 22 janvier 2008, révoqué partiellement l'exécution du séquestre ne le maintenant que dans la mesure où il vise uniquement les avoirs du débiteur. C'est en vain que la plaignante fait valoir que l'obligation pour le séquestrant de mentionner le nom du tiers " utilisé " par le débiteur aux fins de dissimuler ses avoirs rendrait impossible tout séquestre. A ce sujet, le Tribunal fédéral a relevé que le fait d'exiger que soit indiqué le tiers titulaire de la créance à séquestrer ne " signifie pas encore que l'on protège ceux qui se soustraient à leurs créanciers en cédant leurs biens à des hommes de paille, à des sociétés écran ou à des mandataires professionnels qui disposent de dépôts collectifs : dans ces cas, en effet, le degré de vraisemblance de la propriété du débiteur sur les biens, exigé par le juge, devra tenir compte de la situation frauduleuse et chaque indice en ce sens devra être dûment pris en considération " (ATF 126 III 95 , JdT 2000 II 35, consid. 4.a).</w:t>
      </w:r>
    </w:p>
    <w:p>
      <w:r>
        <w:rPr>
          <w:b/>
        </w:rPr>
        <w:t>E. 4</w:t>
      </w:r>
    </w:p>
    <w:p>
      <w:r>
        <w:t>Infondée, la plainte doit être rejetée.</w:t>
      </w:r>
    </w:p>
    <w:p>
      <w:r>
        <w:rPr>
          <w:b/>
        </w:rPr>
        <w:t>E. 5</w:t>
      </w:r>
    </w:p>
    <w:p>
      <w:r>
        <w:t>La plaignante ayant formé appel contre le jugement du Tribunal de première du 27 février 2008, révoquant partiellement l'ordonnance de séquestre du 14 novembre 2007 en ce qu'elle ne porte que sur les actifs détenus au nom du débiteur par le C______, le séquestre, en tant qu'il porte sur les actifs au nom du précité par la B______ SA, la B______ et U______ SA, doit être maintenu jusqu'à droit jugé par la Cour de justice (art. 278 al. 4 LP). * * * * * PAR CES MOTIFS, LA COMMISSION DE SURVEILLANCE SIÉGEANT EN SECTION : A la forme : Déclare recevable la plainte formée le 4 février 2008 par Mme F______ contre la décision de l'Office des poursuites du 22 janvier 2008 dans le cadre du séquestre n° 08 xxxx03 G. Au fond : 1. La rejette. 2. Déboute les parties de toutes autres conclusions. Siégeant : Mme Ariane WEYENETH, présidente ; MM. Philipp GANZONI et Etienne KISS-BORLASE,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