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A/3302/2023 vom 28. November 2023</w:t>
      </w:r>
    </w:p>
    <w:p>
      <w:r>
        <w:t>GE Cour de justice, 2023-11-28, FR</w:t>
      </w:r>
    </w:p>
    <w:p>
      <w:r>
        <w:rPr>
          <w:b/>
        </w:rPr>
        <w:t xml:space="preserve">Quelle: </w:t>
      </w:r>
      <w:r>
        <w:t>https://mcp.opencaselaw.ch/entscheid/ge_gerichte_A_3302_2023</w:t>
      </w:r>
    </w:p>
    <w:p>
      <w:r>
        <w:t>FR: GE_GERICHTE A/3302/2023 du 28 novembre 2023</w:t>
      </w:r>
    </w:p>
    <w:p>
      <w:r>
        <w:t>IT: GE_GERICHTE A/3302/2023 del 28 novembre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15 al. 1bis let. d de l’accord intercantonal sur les marchés publics du 25 novembre 1994 - AIMP - L 6 05 ; art. 3 al. 1 de la loi autorisant le Conseil d’État à adhérer à l’accord intercantonal sur les marchés publics du 12 juin 1997 - L-AIMP - L 6 05.0 ; art. 55 let. c et 56 al. 1 du règlement sur la passation des marchés publics du 17 décembre 2007 - RMP - L 6 05.01).</w:t>
      </w:r>
    </w:p>
    <w:p>
      <w:r>
        <w:rPr>
          <w:b/>
        </w:rPr>
        <w:t>E. 2.1</w:t>
      </w:r>
    </w:p>
    <w:p>
      <w:r>
        <w:t>L'acte de recours contient, sous peine d'irrecevabilité, la désignation de la décision attaquée et les conclusions du recourant (art. 65 al. 1 de la loi sur la procédure administrative du 12 septembre 1985 (LPA - E 5 10). Il contient également l'exposé des motifs ainsi que l'indication des moyens de preuve (art. 65 al. 2 1 ère phr. LPA).![endif]&gt;![if&gt;</w:t>
      </w:r>
    </w:p>
    <w:p>
      <w:r>
        <w:rPr>
          <w:b/>
        </w:rPr>
        <w:t>E. 2.2</w:t>
      </w:r>
    </w:p>
    <w:p>
      <w:r>
        <w:t>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 ATA/243/2023 du 14 mars 2023 consid. 1.1).</w:t>
      </w:r>
    </w:p>
    <w:p>
      <w:r>
        <w:rPr>
          <w:b/>
        </w:rPr>
        <w:t>E. 2.3</w:t>
      </w:r>
    </w:p>
    <w:p>
      <w:r>
        <w:t>En l’espèce, bien que la recourante ne prenne aucune conclusion ni ne motive son recours, on comprend de son acte qu’elle n’est pas d’accord avec la décision l’écartant du marché public convoité. La question de la recevabilité de son recours sous cet angle peut toutefois souffrir de demeurer indécise vu ce qui suit.</w:t>
      </w:r>
    </w:p>
    <w:p>
      <w:r>
        <w:rPr>
          <w:b/>
        </w:rPr>
        <w:t>E. 3.1</w:t>
      </w:r>
    </w:p>
    <w:p>
      <w:r>
        <w:t>L’offre est écartée d’office lorsque le soumissionnaire a rendu une offre tardive, incomplète ou non conforme aux exigences ou au cahier des charges ou ne répond pas ou plus aux conditions pour être admis à soumissionner (art. 42 al. 1 let. a et b RMP). Les offres écartées ne sont pas évaluées. L’autorité adjudicatrice rend alors une décision d’exclusion motivée (art. 42 al. 3 RMP).![endif]&gt;![if&gt;</w:t>
      </w:r>
    </w:p>
    <w:p>
      <w:r>
        <w:rPr>
          <w:b/>
        </w:rPr>
        <w:t>E. 3.2</w:t>
      </w:r>
    </w:p>
    <w:p>
      <w:r>
        <w:t>Selon l’art. 32 al. 1 let. a RMP, ne sont prises en considération que les offres accompagnées, pour le soumissionnaire et ses sous-traitants, des attestations justifiant que la couverture du personnel en matière d'assurances sociales est assurée conformément à la législation en vigueur au siège du soumissionnaire et que ce dernier est à jour avec le paiement de ses cotisations.</w:t>
      </w:r>
    </w:p>
    <w:p>
      <w:r>
        <w:rPr>
          <w:b/>
        </w:rPr>
        <w:t>E. 3.3</w:t>
      </w:r>
    </w:p>
    <w:p>
      <w:r>
        <w:t>Le droit des marchés publics est formaliste, ce que la chambre administrative a rappelé à plusieurs reprises ( ATA/243/2020 du 3 mars 2020 consid. 4d ; ATA/970/2019 du 4 juin 2019 et les références citées), notamment lorsqu'elle a confirmé des décisions d'exclusion d'offres fondées sur la non-production des attestations requises dans l'appel d'offres au titre de condition de participation à la procédure de soumission ( ATA/188/2021 du 23 février 2021 consid. 5 ; ATA/1208/2020 du 1er décembre 2020 consid. 5). L’autorité adjudicatrice doit procéder à l’examen de la recevabilité des offres et à leur évaluation dans le respect de ce formalisme, qui permet de protéger notamment le principe d’intangibilité des offres remises et le respect du principe d’égalité de traitement entre soumissionnaires garanti par l’art. 16 al. 2 RMP ( ATA/1300/2018 précité consid. 3b ; ATA/1446/2017 du 31 octobre 2017 et les références citées). Le respect de ce formalisme est nécessaire pour concrétiser l'obligation d'assurer l'égalité de traitement entre soumissionnaires dans la phase d'examen de la recevabilité des offres et de leur évaluation. La conformité au droit de cette approche formaliste a été confirmée par le Tribunal fédéral ( ATA/102/2010 du 16 février 2010, confirmé par l'arrêt du Tribunal fédéral 2C_197/2010 du 30 avril 2010 consid. 6.4).![endif]&gt;![if&gt; Toutefois, l’interdiction du formalisme excessif, tirée de l’art. 29 Cst. interdit d’exclure une offre présentant une informalité de peu de gravité ou affectée d’un vice qui ne compromet pas sérieusement l'objectif visé par la prescription formelle violée (arrêt du Tribunal fédéral 2C_197/2010 du 30 avril 2010 consid. 6.1). Ainsi, des erreurs évidentes de calcul et d'écriture peuvent être rectifiées (art. 39 al. 2 RMP) et des explications peuvent être demandées aux soumissionnaires (art. 40 et 41 RMP). Le principe d'intangibilité des offres remises et le respect du principe d'égalité de traitement entre soumissionnaires impliquent de ne procéder à ce type de questionnement que de manière restrictive. À cet égard, l’autorité adjudicatrice dispose d’un certain pouvoir d’appréciation quant au degré de sévérité dont elle désire faire preuve dans le traitement des offres ( ATA/384/2018 du 24 avril 2018 ; ATA/490/2017 du 2 mai 2017 et les références citées). L'interdiction du formalisme excessif ne l'oblige cependant pas à interpeller un soumissionnaire en présence d'une offre défaillante (arrêt du Tribunal fédéral 2C_197/2010 précité consid. 6.5).</w:t>
      </w:r>
    </w:p>
    <w:p>
      <w:r>
        <w:rPr>
          <w:b/>
        </w:rPr>
        <w:t>E. 3.4</w:t>
      </w:r>
    </w:p>
    <w:p>
      <w:r>
        <w:t>Ces principes valent notamment pour la phase d’examen de la recevabilité des soumissions, lors de laquelle l’autorité adjudicatrice examine si les offres présentées remplissent les conditions formelles pour participer à la procédure d’évaluation et il est exclu d'autoriser un soumissionnaire à modifier la présentation de son offre, à y apporter des compléments ou à transmettre de nouveaux documents ( ATA/1446/2017 précité ; ATA/490/2017 précité et les références citées).</w:t>
      </w:r>
    </w:p>
    <w:p>
      <w:r>
        <w:rPr>
          <w:b/>
        </w:rPr>
        <w:t>E. 4</w:t>
      </w:r>
    </w:p>
    <w:p>
      <w:r>
        <w:t>En l’espèce, la recourante ne remet pas en cause le fait que, conformément au RMP, elle devait produire avec son offre, ce qui figurait expressément notamment au chiffre 3.6 du dossier d’appel d’offres, une attestation d’assurance-accident (SUVA ou équivalent) et la preuve de paiement de la cotisation de l’assurance-accident pour les indépendants, y compris pour les sous-traitants, sous peine d’exclusion du marché public en question.![endif]&gt;![if&gt; Elle reconnait ne pas avoir fourni à l’appui de l’offre déposée le 13 septembre 2023 les attestations LAA de deux des cinq sous-traitants appelés à intervenir dans le marché public en cause. Elle semble considérer que leur production devant la chambre de céans réparerait ce vice initial de son offre. Il n’en est rien. Son attention a expressément été attirée sur l’obligation de produire ces attestations et sur les conséquences de leur absence, à savoir une exclusion. Le principe de l’intangibilité des offres commande, notamment en vue d’assurer l’égalité de traitement entre soumissionnaires, de confirmer la décision attaquée. Ce principe implique que les soumissionnaires ne sont pas autorisés à compléter leur offre après l’échéance du délai de leur dépôt, en l’espèce le 15 septembre 2023. Mal fondé, le recours sera rejeté.</w:t>
      </w:r>
    </w:p>
    <w:p>
      <w:r>
        <w:rPr>
          <w:b/>
        </w:rPr>
        <w:t>E. 5</w:t>
      </w:r>
    </w:p>
    <w:p>
      <w:r>
        <w:t>Vu l'issue du litige, un émolument de CHF 500.- sera mis à la charge de la recourante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