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A/329/2022 vom 31. Januar 2023</w:t>
      </w:r>
    </w:p>
    <w:p>
      <w:r>
        <w:t>GE Cour de justice, 2023-01-31, FR</w:t>
      </w:r>
    </w:p>
    <w:p>
      <w:r>
        <w:rPr>
          <w:b/>
        </w:rPr>
        <w:t xml:space="preserve">Quelle: </w:t>
      </w:r>
      <w:r>
        <w:t>https://mcp.opencaselaw.ch/entscheid/ge_gerichte_A_329_2022</w:t>
      </w:r>
    </w:p>
    <w:p>
      <w:r>
        <w:t>FR: GE_GERICHTE A/329/2022 du 31 janvier 2023</w:t>
      </w:r>
    </w:p>
    <w:p>
      <w:r>
        <w:t>IT: GE_GERICHTE A/329/2022 del 31 gennaio 2023</w:t>
      </w:r>
    </w:p>
    <w:p>
      <w:pPr>
        <w:pStyle w:val="Heading2"/>
      </w:pPr>
      <w:r>
        <w:t>Erwägungen</w:t>
      </w:r>
    </w:p>
    <w:p>
      <w:r>
        <w:rPr>
          <w:b/>
        </w:rPr>
        <w:t>E. 8</w:t>
      </w:r>
    </w:p>
    <w:p>
      <w:r>
        <w:t>La loi distingue trois degrés d’impotence : grave, moyen ou faible (art. 42 al. 2 LAI).![endif]&gt;![if&gt;</w:t>
      </w:r>
    </w:p>
    <w:p>
      <w:r>
        <w:rPr>
          <w:b/>
        </w:rPr>
        <w:t>E. 8.1</w:t>
      </w:r>
    </w:p>
    <w:p>
      <w:r>
        <w:t>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référence).![endif]&gt;![if&gt;</w:t>
      </w:r>
    </w:p>
    <w:p>
      <w:r>
        <w:rPr>
          <w:b/>
        </w:rPr>
        <w:t>E. 8.2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personnelle.![endif]&gt;![if&gt;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8.3</w:t>
      </w:r>
    </w:p>
    <w:p>
      <w:r>
        <w:t>L’art. 37 al. 2 RAI stipule que l’impotence est moyenne si l’assuré, même avec des moyens auxiliaires, a besoin :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![endif]&gt;![if&gt;</w:t>
      </w:r>
    </w:p>
    <w:p>
      <w:r>
        <w:rPr>
          <w:b/>
        </w:rPr>
        <w:t>E. 8.4</w:t>
      </w:r>
    </w:p>
    <w:p>
      <w:r>
        <w:t>L’art. 37 al. 3 RAI dispose que l’impotence est faible si l’assuré, même avec des moyens auxiliaires, a besoin :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e).![endif]&gt;![if&gt;</w:t>
      </w:r>
    </w:p>
    <w:p>
      <w:r>
        <w:rPr>
          <w:b/>
        </w:rPr>
        <w:t>E. 9</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![endif]&gt;![if&gt;</w:t>
      </w:r>
    </w:p>
    <w:p>
      <w:r>
        <w:rPr>
          <w:b/>
        </w:rPr>
        <w:t>E. 9.1</w:t>
      </w:r>
    </w:p>
    <w:p>
      <w:r>
        <w:t>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Circulaire sur l’invalidité et l’impotence dans l’assurance-invalidité établie par l’Office fédéral des assurances sociales [OFAS ; CIIAI], dans son état au 1 er janvier 2021, ch. 8088).![endif]&gt;![if&gt;</w:t>
      </w:r>
    </w:p>
    <w:p>
      <w:r>
        <w:rPr>
          <w:b/>
        </w:rPr>
        <w:t>E. 9.2</w:t>
      </w:r>
    </w:p>
    <w:p>
      <w:r>
        <w:t>Afin de faciliter l’évaluation de l’impotence déterminante des mineurs, des lignes directrices figurent dans l’annexe III de la CIIAI (arrêt 9C_831/2017 du 3 avril 2018 consid. 3.2 et les références). ![endif]&gt;![if&gt; Elles détaillent l’âge à partir duquel, en moyenne, un enfant en bonne santé n’a plus besoin d’une aide régulière et importante pour chacun des actes ordinaires de la vie. Cet âge détermine le début du délai d’attente d’un an (cf. ATAS/48/2020 du 28 janvier 2020 consid. 6).</w:t>
      </w:r>
    </w:p>
    <w:p>
      <w:r>
        <w:rPr>
          <w:b/>
        </w:rPr>
        <w:t>E. 9.3</w:t>
      </w:r>
    </w:p>
    <w:p>
      <w:r>
        <w:t>Les mineurs n’ont pas droit à l’allocation pour impotent s’ils ont uniquement besoin d’un accompagnement pour faire face aux nécessités de la vie (art. 42 bis al. 5 LAI). ![endif]&gt;![if&gt;</w:t>
      </w:r>
    </w:p>
    <w:p>
      <w:r>
        <w:rPr>
          <w:b/>
        </w:rPr>
        <w:t>E. 10</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références).![endif]&gt;![if&gt;</w:t>
      </w:r>
    </w:p>
    <w:p>
      <w:r>
        <w:rPr>
          <w:b/>
        </w:rPr>
        <w:t>E. 11</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![endif]&gt;![if&gt;</w:t>
      </w:r>
    </w:p>
    <w:p>
      <w:r>
        <w:rPr>
          <w:b/>
        </w:rPr>
        <w:t>E. 11.1</w:t>
      </w:r>
    </w:p>
    <w:p>
      <w:r>
        <w:t>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(arrêt du Tribunal fédéral précité consid. 3.1 et les références). ![endif]&gt;![if&gt;</w:t>
      </w:r>
    </w:p>
    <w:p>
      <w:r>
        <w:rPr>
          <w:b/>
        </w:rPr>
        <w:t>E. 11.2</w:t>
      </w:r>
    </w:p>
    <w:p>
      <w:r>
        <w:t>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![endif]&gt;![if&gt;</w:t>
      </w:r>
    </w:p>
    <w:p>
      <w:r>
        <w:rPr>
          <w:b/>
        </w:rPr>
        <w:t>E. 11.3</w:t>
      </w:r>
    </w:p>
    <w:p>
      <w:r>
        <w:t>La condition de permanence n’exige pas que la personne qui surveille ait mission de s’occuper exclusivement de l’assuré (arrêt du Tribunal fédéral 9C_608/2007 du 31 janvier 2008 consid. 2.2.1 et la référence). ![endif]&gt;![if&gt; Un besoin de surveillance pourra être reconnu lorsque, en raison d’une affection donnée, une clinique spécialisée doit utiliser de manière individuelle et ciblée une technique particulière pour assurer la surveillance de l’assuré (arrêt du Tribunal fédéral 9C_825/2014 du 23 juin 2015 consid. 4.1.1 et les références).</w:t>
      </w:r>
    </w:p>
    <w:p>
      <w:r>
        <w:rPr>
          <w:b/>
        </w:rPr>
        <w:t>E. 11.4</w:t>
      </w:r>
    </w:p>
    <w:p>
      <w:r>
        <w:t>La surveillance personnelle permanente a été admise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3).![endif]&gt;![if&gt;</w:t>
      </w:r>
    </w:p>
    <w:p>
      <w:r>
        <w:rPr>
          <w:b/>
        </w:rPr>
        <w:t>E. 11.5</w:t>
      </w:r>
    </w:p>
    <w:p>
      <w:r>
        <w:t>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références).![endif]&gt;![if&gt;</w:t>
      </w:r>
    </w:p>
    <w:p>
      <w:r>
        <w:rPr>
          <w:b/>
        </w:rPr>
        <w:t>E. 12</w:t>
      </w:r>
    </w:p>
    <w:p>
      <w:r>
        <w:t>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![endif]&gt;![if&gt;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(CIIAI, ch. 8058).</w:t>
      </w:r>
    </w:p>
    <w:p>
      <w:r>
        <w:rPr>
          <w:b/>
        </w:rPr>
        <w:t>E. 13</w:t>
      </w:r>
    </w:p>
    <w:p>
      <w:r>
        <w:t>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 ![endif]&gt;![if&gt;</w:t>
      </w:r>
    </w:p>
    <w:p>
      <w:r>
        <w:rPr>
          <w:b/>
        </w:rPr>
        <w:t>E. 14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15</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6.1.2).![endif]&gt;![if&gt;</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w:t>
      </w:r>
    </w:p>
    <w:p>
      <w:r>
        <w:rPr>
          <w:b/>
        </w:rPr>
        <w:t>E. 17</w:t>
      </w:r>
    </w:p>
    <w:p>
      <w:r>
        <w:t>![endif]&gt;![if&gt;</w:t>
      </w:r>
    </w:p>
    <w:p>
      <w:r>
        <w:rPr>
          <w:b/>
        </w:rPr>
        <w:t>E. 17.1</w:t>
      </w:r>
    </w:p>
    <w:p>
      <w:r>
        <w:t>En l'espèce, le recourant conteste la valeur probante du rapport d'enquête à domicile du 22 novembre 2021, au motif que l'enquêtrice ne disposait d'aucune connaissance spécifique du diabète de type 1, et qu'elle a ignoré plusieurs faits (pesée de chaque aliment, adaptation des plats, calcul de la dose d'insuline à administrer, temps d'appel téléphonique du recourant à la mère pour qu'elle vérifie les calculs, temps de préparation du sac chaque matin contenant le set d'injection et les aliments sucrés, fait que la mère reste joignable 24h sur 24, intervention de celle-ci entre quinze à soixante minutes par nuit). ![endif]&gt;![if&gt;</w:t>
      </w:r>
    </w:p>
    <w:p>
      <w:r>
        <w:rPr>
          <w:b/>
        </w:rPr>
        <w:t>E. 17.2</w:t>
      </w:r>
    </w:p>
    <w:p>
      <w:r>
        <w:t>La chambre de céans observe que ce rapport d'enquête a été établi par une infirmière évaluatrice, soit une personne qualifiée, à la suite d'une visite au domicile du recourant, en présence de ce dernier et de sa maman (et de la nounou). L'enquêtrice avait parfaitement connaissance de l'atteinte à la santé dont le recourant souffre puisqu'elle a rappelé qu'il présente un diabète de type 1. Elle a par ailleurs consigné le type et l'étendue de l'aide dont celui-ci a besoin en se référant aux indications fournies sur place par le recourant et sa mère. Aussi le simple fait que l'infirmière ne soit pas une spécialiste en diabète (infantile) ne suffit pas pour discréditer ses conclusions (dans ce sens : arrêt de la Cour des assurances sociales du Tribunal cantonal du canton de Bâle-Campagne du 13 février 2020 [720 19 289 / 32] consid. 5.2). ![endif]&gt;![if&gt; Contrairement aux dires du recourant, l'infirmière évaluatrice a mentionné que, pour chaque repas, il faut peser les aliments afin de connaître le taux d'hydrate de carbone et ajuster les unités d'insuline à administrer après le repas, que le jour de la visite, le temps de calcul (avec les aliments préalablement pesés) pour administrer la dose d'insuline est de cinq minutes et que le temps des injections d'insuline est de vingt-cinq minutes par jour (5 × 5 minutes), que le recourant mange quatre fois par semaine à la cantine où il pèse la nourriture avec une balance portable (qui se trouve toujours dans son sac) et appelle sa mère pour un contrôle (pour qu'elle confirme les unités d'insuline à injecter), que la maman, avant le départ pour l'école, vérifie le sac du recourant qui contient le stylo d'insuline, les compotes et les barres de céréales, ainsi que le matériel d'urgence (injection de glucagon, directives écrites pour les personnes non initiées, numéro de secours), vérification qui dure cinq minutes, et que pendant la nuit, la maman se lève à 2h du matin pour contrôler la glycémie sur le capteur et procède à un resucrage lorsque celle-ci est trop basse, puis recontrôle la glycémie quinze minutes après. L'enquêtrice a visualisé le carnet des glycémies et a retenu, avec confirmation de la mère, un resucrage environ une nuit sur deux, représentant un temps d'intervention de trente minutes par nuit (rapport d'enquête du 22 novembre 2021, dossier intimé p. 190, 194-195; note de travail du 16 novembre 2021, dossier intimé p. 198-199). Comme on le verra plus loin, le fait que l'infirmière n'ait pas indiqué que la mère reste joignable 24h sur 24 n'a aucune incidence sur l'issue du litige. En ce qui concerne le choix des aliments et la préparation des repas, c'est le lieu de rappeler qu'ils ne font pas partie des six actes élémentaires de la vie quotidienne, et en particulier qu'ils ne sont pas inclus dans les fonctions partielles de l'acte « manger » que sont le broyage des aliments, l'apport de la nourriture à la bouche, la mastication et la déglutition (cf. arrêt du Tribunal fédéral des assurances H.299/03 du 7 juin 2004 consid. 3.4). Par ailleurs, un régime alimentaire pour les personnes atteintes de diabète ne fonde pas l'impotence ( ATAS/1124/2022 du 19 décembre 2022 consid. 9.1.3). Dans la mesure où le recourant peut se nourrir seul (dossier intimé p. 192), l'enquêtrice était fondée à ne pas retenir, pour l'acte « manger », le surplus d'aide généré pour la pesée systématique des aliments et le calcul des glucides (dans ce sens : arrêt précité du Tribunal cantonal du canton de Bâle-Campagne consid. 6.2; arrêt du Tribunal administratif du canton de Berne du 4 septembre 2022 [200.2021.842.AI] consid. 5.3.1). Contrairement à ce que pense le recourant, le fait qu'il contacte sa mère par téléphone pour s'assurer de la quantité suffisante d'apport de sucre et des unités d'insuline à injecter n'est pas déterminant. Celui-ci peut en soi porter les aliments à sa bouche, les broyer, les mâcher et les avaler, et est du reste lui-même capable de peser les aliments et de faire les injections d'insuline (note de travail du 16 novembre 2021, dossier intimé p. 198), étant relevé que le temps nécessaire pour les injections d'insuline et le contrôle de la glycémie a été pris en compte au titre des soins astreignants (dossier intimé p. 194-195, 198-199; voir ci-dessous). C'est également à juste titre que l'infirmière a nié une impotence en lien avec l’acte « se déplacer à l’intérieur ou à l’extérieur et établir des contacts sociaux », puisque le recourant, membre d'une équipe de foot d'élite (dossier intimé p. 193), peut en soi se déplacer lui-même dans le logement ou à l’extérieur (y compris seul à vélo; p. 196), et entretenir des contacts sociaux, ce même s'il ne participe qu'à des camps de vacances spécifiquement pour les enfants diabétiques. Bien que sa mère prépare son sac et l'assiste si nécessaire à distance lors des sorties extrascolaires (acte de recours p. 13) appui qui n'apparaît ni excessif ni disproportionné , le recourant n'a pas besoin d'une aide pour ses déplacements et pour entretenir des contacts.</w:t>
      </w:r>
    </w:p>
    <w:p>
      <w:r>
        <w:rPr>
          <w:b/>
        </w:rPr>
        <w:t>E. 17.3</w:t>
      </w:r>
    </w:p>
    <w:p>
      <w:r>
        <w:t>Le recourant, ne présentant aucun empêchement pour l'accomplissement des six actes élémentaires de la vie, il ne peut prétendre à l'allocation pour impotent de degré faible que s'il a besoin d'une surveillance personnelle permanente ou de soins particulièrement astreignants (art. 37 al. 3 RAI), étant rappelé que les mineurs n’ont pas droit à l’allocation pour impotent s’ils ont uniquement besoin d’un accompagnement pour faire face aux nécessités de la vie (art. 42 bis al. 5 LAI). ![endif]&gt;![if&gt;</w:t>
      </w:r>
    </w:p>
    <w:p>
      <w:r>
        <w:rPr>
          <w:b/>
        </w:rPr>
        <w:t>E. 17.3.1</w:t>
      </w:r>
    </w:p>
    <w:p>
      <w:r>
        <w:t>Contrairement à ce que fait valoir le recourant, il ne nécessite pas une surveillance personnelle permanente. Quand bien même le taux de glycémie doit être contrôlé plusieurs fois par jour afin de détecter à temps une hypo- ou hyperglycémie et d'éviter les situations de mise en danger de la vie, il n'empêche que celui-ci, qui peut être laissé seul à la maison durant la journée (acte de recours p. 12), comprend sa maladie (il a été formé au quotidien grâce à sa mère infirmière et son père médecin ) et il peut réagir en cas de besoin sans l'intervention d'un tiers : il contrôle lui-même sa glycémie à l'aide de son capteur et sait qu'il doit prendre une compote de pomme ou une barre de céréales lorsque celle-ci est trop basse (dossier intimé p. 198). Le fait que sa mère soit joignable 24h sur 24 par téléphone ne saurait être assimilé à la surveillance personnelle permanente, dès lors que, comme on vient de le dire, le recourant lui-même contrôle son taux de glycémie et réagit en conséquence à la maison ou à l'extérieur, sans la présence de ses parents. Il n'y a pas non plus lieu de reconnaître une telle surveillance, au motif que le recourant n'est pas encore capable de prendre les bonnes décisions, seul, en cas de mesures sortant de l'ordinaire, puisqu'il gère lui-même bien sa maladie au quotidien et que le matériel d'urgence, toujours à portée de main, n'a jamais été utilisé (dossier intimé p. 198-199; voir également arrêt du Tribunal des assurances sociales du canton de Zurich du 26 mai 2005 [IV.2005.00227] consid. 4.4 dans lequel la surveillance personnelle permanente a été niée pour un mineur qui se rendait seul au jardin d'enfants où il n'était soumis qu'à une surveillance collective et dont les contrôles réguliers de la glycémie plusieurs fois par jour n'ont pas été qualifiés de permanents au sens de l'art. 37 al. 3 let. b RAI). Quant au contrôle de la glycémie du recourant pendant la nuit, il a été pris en compte au titre des soins astreignants (voir ci-dessous). ![endif]&gt;![if&gt;</w:t>
      </w:r>
    </w:p>
    <w:p>
      <w:r>
        <w:rPr>
          <w:b/>
        </w:rPr>
        <w:t>E. 17.3.2</w:t>
      </w:r>
    </w:p>
    <w:p>
      <w:r>
        <w:t>L'enquêtrice a retenu quatre-vingts minutes de soins astreignants par jour, avec un aspect qualitatif aggravant (soins de nuit). Ces soins comprennent les injections d'insuline (vingt-cinq minutes par jour), le changement de capteur (trois minutes par jour), le contrôle de la glycémie avec le capteur (dix minutes par jour), le contrôle si nécessaire glycémique par prélèvement au bout du doigt (cinq minutes par jour), les soins pendant la nuit (trente minutes par jour), la vérification du sac contenant notamment le stylo d'insuline (cinq minutes par jour), et l'accompagnement aux visites médicales et chez les thérapeutes (deux minutes par jour; dossier intimé p. 195-196, 198-199). Comme les besoins de soins ne dépassent pas les deux heures (cent vingt minutes) par jour, ils ne peuvent pas être qualifiés de particulièrement astreignants au sens de la jurisprudence (consid. 12 ci-dessus). ![endif]&gt;![if&gt; À cet égard, c'est à juste titre que l'enquêtrice n'a pas tenu compte du fait que la maman est joignable 24h sur 24, ou qu'elle ne travaille pas et consacre ainsi beaucoup de temps à la prise en charge du diabète de son fils, dès lors que cette disponibilité en soi ne peut pas être qualifiée de « soins » au sens de l'art. 37 al. 3 let. c RAI (cf. consid. 8.2 ci-dessus) étant rappelé que les prestations d'aide médicale ont été comptabilisées, comme relevé supra. On ne peut pas retenir, comme le voudrait le recourant, un surcroît de temps de trois heures et quarante-cinq minutes pour les soins astreignants, qui ressort du document intitulé « Suivi de l'enfant diabétique » annexé au rapport des HUG du 25 mai 2021, puisqu'il inclut le temps nécessité par la préparation des repas (dîner et souper) et les repas eux-mêmes. Or, comme expliqué plus haut, ces activités n'entrent pas en ligne de compte. Enfin, même si le Tribunal fédéral n'a pas indiqué à partir de quels montants il faut reconnaître l'existence de soins particulièrement coûteux (arrêt précité du Tribunal administratif du canton de Berne consid. 5.3.4), en l'occurrence, il n'est pas établi que les soins du recourant sont particulièrement coûteux. Les frais de la nounou ne sont pas décisifs, dès lors qu'ils ne se rapportent pas à des « soins » au sens de l'art. 37 al. 3 let. c RAI. Les frais de personnel soignant externe, qui serait engagé lors de camps scolaires ou de sorties à la journée dans l'éventualité où la maman travaillerait, ne peuvent en tous cas pas être pris en compte, faute d'être une dépense effective. Quant aux frais médicaux (quote-part, et coûts non couverts par l'assurance-maladie de base), le recourant, représenté par une avocate, n'a ni chiffré ces frais ni produit de justificatifs. L'avis de taxation pour l'année 2018 non pertinent pour la période ici déterminante, qui est postérieure à la première décision de refus de prestation du 7 octobre 2019 entrée en force fait état d'une déduction pour frais médicaux (enfant) de CHF 3'312.-. Même si la part fiscalement déductible des frais médicaux ne correspond pas à la totalité de ceux-ci ( ATAS/249/2017 du 28 mars 2017 consid. 16d), ce montant (qui équivaut à CHF 276.- par mois), bien qu'élevé, ne saurait être qualifié de « particulièrement élevé ».</w:t>
      </w:r>
    </w:p>
    <w:p>
      <w:r>
        <w:rPr>
          <w:b/>
        </w:rPr>
        <w:t>E. 18</w:t>
      </w:r>
    </w:p>
    <w:p>
      <w:r>
        <w:t>Au vu de ce qui précède, le recours ne peut qu'être rejeté, sans qu'il ne soit nécessaire d'entendre les parties ou de procéder à l'audition de la Dresse C______, par appréciation anticipée des preuves (ATF 122 II 464 consid. 4a). ![endif]&gt;![if&gt;</w:t>
      </w:r>
    </w:p>
    <w:p>
      <w:r>
        <w:rPr>
          <w:b/>
        </w:rPr>
        <w:t>E. 19</w:t>
      </w:r>
    </w:p>
    <w:p>
      <w:r>
        <w:t>Le recourant, qui succombe, n'a pas droit à des dépens (art. 61 let. g LPGA a contrario).![endif]&gt;![if&gt;</w:t>
      </w:r>
    </w:p>
    <w:p>
      <w:r>
        <w:rPr>
          <w:b/>
        </w:rPr>
        <w:t>E. 20</w:t>
      </w:r>
    </w:p>
    <w:p>
      <w:r>
        <w:t>Au vu du sort du recours, le recourant sera condamné au paiement d’un émolument, arrêté en l'espèce à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