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A/329/2011 vom 24. Februar 2011</w:t>
      </w:r>
    </w:p>
    <w:p>
      <w:r>
        <w:t>GE Cour de justice, 2011-02-24, FR</w:t>
      </w:r>
    </w:p>
    <w:p>
      <w:r>
        <w:rPr>
          <w:b/>
        </w:rPr>
        <w:t xml:space="preserve">Quelle: </w:t>
      </w:r>
      <w:r>
        <w:t>https://mcp.opencaselaw.ch/entscheid/ge_gerichte_A_329_2011</w:t>
      </w:r>
    </w:p>
    <w:p>
      <w:r>
        <w:t>FR: GE_GERICHTE A/329/2011 du 24 février 2011</w:t>
      </w:r>
    </w:p>
    <w:p>
      <w:r>
        <w:t>IT: GE_GERICHTE A/329/2011 del 24 febbraio 2011</w:t>
      </w:r>
    </w:p>
    <w:p>
      <w:pPr>
        <w:pStyle w:val="Heading2"/>
      </w:pPr>
      <w:r>
        <w:t>Regeste</w:t>
      </w:r>
    </w:p>
    <w:p>
      <w:r>
        <w:t>Irrecevable. | Le plaignant n'a pas produit la plainte traduite en français dans le délai qui lui avait été imparti.</w:t>
      </w:r>
    </w:p>
    <w:p>
      <w:pPr>
        <w:pStyle w:val="Heading2"/>
      </w:pPr>
      <w:r>
        <w:t>Erwägungen</w:t>
      </w:r>
    </w:p>
    <w:p>
      <w:r>
        <w:rPr>
          <w:b/>
        </w:rPr>
        <w:t>E. 1</w:t>
      </w:r>
    </w:p>
    <w:p>
      <w:r>
        <w:t>.</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1.3</w:t>
      </w:r>
    </w:p>
    <w:p>
      <w:r>
        <w:t>En l'espèce, la plaignante n'a pas déféré, dans le délai qui lui avait été imparti, à l'injonction qui lui avait été faite par l'Autorité de céans dans son courrier du 3 février 2011. Sa plainte sera en conséquence déclarée irrecevable.</w:t>
      </w:r>
    </w:p>
    <w:p>
      <w:r>
        <w:rPr>
          <w:b/>
        </w:rPr>
        <w:t>E. 1.4</w:t>
      </w:r>
    </w:p>
    <w:p>
      <w:r>
        <w:t>La présente décision est prise en application de l’art. 72 LPA, applicable vertu de l’art. 9 al. 5 LaLP, soit sans instruction préalable, compte tenu de l’issue manifeste qu’il faut donner à la plainte. Elle sera toutefois communiquée à l'Office. * * * * * PAR CES MOTIFS, L'Autorité de surveillance : Déclare irrecevable la plainte formée par S______ AG le 31 janvier 2011 contre le refus de l'Office des poursuites de donner suite à la réquisition de poursuite n° 11 xxxx30 W. Siégeant : Madame Ariane WEYENETH, présidente ; Madame Florence CASTELLA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être écrite et signée par le plaignant ou son mandataire, rédigée dans la langue officielle de l'autorité de surveillance (ATF 124 III 207 , JdT 1999 II 60 consid. 4) et indiquer son objet, mais il n'est pas nécessaire qu'elle contienne des conclusions expresses (ATF 103 III 7 , JdT 1978 II 143). 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l'Autorité de céans doit impartir au plaignant un bref délai pour satisfaire à ces exigences, sous peine d’irrecevabilité (art. 9 al. 2 LaLP et art. 65 al. 2 phr. 3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