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A/328/2014 vom 7. Juli 2015</w:t>
      </w:r>
    </w:p>
    <w:p>
      <w:r>
        <w:t>GE Cour de justice, 2015-07-07, FR</w:t>
      </w:r>
    </w:p>
    <w:p>
      <w:r>
        <w:rPr>
          <w:b/>
        </w:rPr>
        <w:t xml:space="preserve">Quelle: </w:t>
      </w:r>
      <w:r>
        <w:t>https://mcp.opencaselaw.ch/entscheid/ge_gerichte_A_328_2014</w:t>
      </w:r>
    </w:p>
    <w:p>
      <w:r>
        <w:t>FR: GE_GERICHTE A/328/2014 du 7 juillet 2015</w:t>
      </w:r>
    </w:p>
    <w:p>
      <w:r>
        <w:t>IT: GE_GERICHTE A/328/2014 del 7 luglio 2015</w:t>
      </w:r>
    </w:p>
    <w:p>
      <w:pPr>
        <w:pStyle w:val="Heading2"/>
      </w:pPr>
      <w:r>
        <w:t>Erwägungen</w:t>
      </w:r>
    </w:p>
    <w:p>
      <w:r>
        <w:rPr>
          <w:b/>
        </w:rPr>
        <w:t>E. 1</w:t>
      </w:r>
    </w:p>
    <w:p>
      <w:r>
        <w:t>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interjeté en temps utile (art. 60 al. 1 LPGA), dans le respect des exigences de forme et de contenu prévues par l’art. 61 let. b LPGA (cf. aussi art. 89B LPA), par une personne ayant qualité pour recourir (art. 59 LPGA). c. Il sera donc déclaré recevable.</w:t>
      </w:r>
    </w:p>
    <w:p>
      <w:r>
        <w:rPr>
          <w:b/>
        </w:rPr>
        <w:t>E. 2</w:t>
      </w:r>
    </w:p>
    <w:p>
      <w:r>
        <w:t>a. Sur le plan matériel, sont en principe applicables les règles de droit en vigueur au moment où les faits juridiquement déterminants se sont produits (ATF 129 V 1 consid. 1; ATF 127 V 467 consid. 1 et les références ; concernant la procédure, à défaut de règles transitoires contraires, le nouveau droit s'applique sans réserve dès le jour de son entrée en vigueur [ATF 117 V 93 consid. 6b ; ATF 112 V 360 consid. 4a ; RAMA 1998 KV 37 p. 316 consid. 3b]). Le droit à appliquer en l’espèce est celui qui était en vigueur lorsque l’office intimé a rendu la décision attaquée, à savoir le droit encore actuellement en vigueur, intégrant les différentes modifications qu’a subies la LAI notamment depuis que la recourante a déposé sa demande de prestations de l’AI, le 24 décembre 2009, en particulier celles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 présent recours porte en effet sur le point de savoir si la recourante est invalide et, le cas échéant, à quel degré, et donc si elle a droit à une rente d’invalidité, dans l’affirmative à quelle rente. b. Les dispositions de la LPGA s'appliquent par ailleurs à l'assurance-invalidité, à moins que la loi n'y déroge expressément (art. 1 al. 1 LAI). Les modifications qu'a apportées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L’assuré a droit à une rente entière d'invalidité s’il est invalide à 70% au moins, à un trois-quarts de rente s'il est invalide à 60% au moins, à une demi-rente s’il est invalide à 50% au moins, ou à un quart de rente s’il est invalide à 40% au moins (art. 28 al. 2 LAI). b.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pertinente parce que même à défaut d'une telle atteinte ladite personne n'exercerait une activité lucrative qu'à temps partiel. La notion d'invalidité, au sens du droit des assurances sociales, est en tout état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c. L'invalidité n'en comprend pas moins un aspect médical important, puisqu'elle doit résulter d'une atteinte à la santé physique, psychique ou mentale. Aussi est-il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Un 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La question du statut doit être tranchée sur la base de l'évolution de la situation jusqu'au prononcé de la décision administrative litigieuse, au degré de vraisemblance prépondérante (ATF 130 V 393 consid. 3.3 et ATF 125 V 146 consid. 2c et les références citées). e.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ATF 104 V 136 consid. 2a).</w:t>
      </w:r>
    </w:p>
    <w:p>
      <w:r>
        <w:rPr>
          <w:b/>
        </w:rPr>
        <w:t>E. 4</w:t>
      </w:r>
    </w:p>
    <w:p>
      <w:r>
        <w:t>En l’espèce, il n’est pas contesté qu’à défaut d’atteinte à la santé, la recourante exercerait un emploi à 80 % et se consacrerait pour le surplus (donc pour le 20 % restant) à la tenue de son ménage. C’est ce qu’elle a déclaré aux deux enquêtrices ayant effectué une enquête économique sur son ménage, en décembre 2010 et en avril 2013, de même que dans ses observations du 24 juin 2013 sur le projet de décision de l’office intimé et lors de son audition du 25 novembre 2014 par la chambre de céans. S’il est supérieur à celui qu’elle avait depuis plusieurs années avant de se trouver en arrêt de travail, ce taux d’activité professionnelle de 80 % apparaît des plus vraisemblable au regard de l’âge de la recourante et celui de sa fille (respectivement 60 et 20 ans lors du prononcé de la décision attaquée) et de sa situation de femme séparée de son mari (en instance de divorce, a-t-elle indiqué à la première enquêtrice). Aussi n’y a-t-il pas lieu de tenir compte de l’affirmation qu’a avancée sa mandante d’alors, dans une détermination du 24 mars 2011, qu’à défaut d’atteinte à la santé elle travaillerait à 100 %. La décision attaquée reconnaît à juste titre à la recourante un statut mixte constitué d’une part professionnelle de 80 % et d’une part ménagère de 20 %. Elle rapporte en revanche par inadvertance – ainsi que l’office intimé l’a reconnu lors de son audition, le 25 novembre 2014 – les taux de perte de gain et d’empêchement retenus pour ces deux sphères d’activités à respectivement une part professionnelle de 73 % et une part ménagère de 27 %. Cela devra être rectifié, quels que soient les taux de perte de gain et d’empêchement à retenir, qui représentent l’objet même du présent recours, puisque la recourante conteste ceux qu’a retenus l’office intimé.</w:t>
      </w:r>
    </w:p>
    <w:p>
      <w:r>
        <w:rPr>
          <w:b/>
        </w:rPr>
        <w:t>E. 5</w:t>
      </w:r>
    </w:p>
    <w:p>
      <w:r>
        <w:t>a. La décision attaquée retient que la recourante avait, depuis le 21 septembre 2009 (date à partir de laquelle elle avait été en arrêt de travail à 100 %), une capacité de travail résiduelle de 50 % dans toute activité professionnelle. L’expert rhumatologue mandaté par l’office intimé avait estimé, en octobre 2010, que la recourante avait une capacité de travail de 75 % dans son ancienne activité de secrétaire ainsi que dans d’autres activités ne l’amenant pas à effectuer des travaux pénibles physiquement, avec des ports de charges réguliers de plus de 5 à 10 kg, des maintiens prolongés en position statique, des mouvements répétitifs de la colonne lombaire, des positions en porte-à-faux de la colonne lombaire, un environnement réfrigéré ou humide. Après qu’il eut ordonné une expertise psychiatrique de la recourante, que l’experte en ayant été chargée eut conclu à une capacité de travail de 50 % et qu’à sa demande le SMR eut procédé à une synthèse des deux expertises médicales effectuées, l’office intimé a retenu l’avis que si la capacité de travail résiduelle somatique de la recourante était de 75 %, les difficultés psychiatriques de cette dernière justifiaient que sa capacité de travail résiduelle globale soit fixée à 50 %. Il n’y avait pas lieu, a-t-il indiqué, d’additionner les taux d’incapacité de travail préconisés séparément par les deux experts. b. La recourante conteste ce point de vue. Elle ne remet pas en question l’appréciation que l’incapacité de travail tenant à ses problèmes rhumatologiques est de 25 %, mais elle estime qu’à ce taux d’incapacité de travail doit s’ajouter le taux de 50 % dû à ses problèmes psychiatriques, si bien que son incapacité de travail globale serait de 75 %. Et elle demande qu’une expertise pluridisciplinaire soit ordonnée, se déclarant certaine que le résultat en serait que sa capacité de travail résiduelle pour la part professionnelle serait établie à 25 %.</w:t>
      </w:r>
    </w:p>
    <w:p>
      <w:r>
        <w:rPr>
          <w:b/>
        </w:rPr>
        <w:t>E. 6</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développé des règles sur la portée probatoire des divers types de rapports médicaux.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c. Une appréciation anticipée des preuves est admise.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 ; Ghislaine FRÉSARD-FELLAY, op. cit., n. 80).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7</w:t>
      </w:r>
    </w:p>
    <w:p>
      <w:r>
        <w:t>a. En l’espèce, l’appréciation médicale de la situation joue un rôle important pour déterminer la capacité de la recourante d’exercer une activité lucrative, le cas échéant dans quels secteurs d’activités, à quel taux, et avec quelles limitations. Il incombe à la chambre de céans d’apprécier la valeur probante des rapports et avis médicaux, au besoin de compléter l’instruction en sollicitant des rapports médicaux complémentaires ou/et en ordonnant des expertises (à moins qu’il n’y ait lieu d’annuler la décision attaquée et de renvoyer la cause à l’administration pour complément d’instruction), ainsi que de déterminer l’impact des atteintes à la santé à retenir sur la capacité de gain de la recourante. b. Le premier projet de décision que l’office a soumis à la recourante, le 28 février 2011, n’a pas appréhendé la situation globale de cette dernière du point de vue médical. D’une part, il ne tenait pas compte du fait que, de l’avis même de l’expert rhumatologue, il ne serait pas déraisonnable d’effectuer une IRM ou un scanner lombaire avant de rendre une décision, et d’autre part il n’abordait pas le volet psychiatrique. L’office intimé a remédié à ces deux défauts avant de rendre, le 24 mai 2013, un second projet de décision, puisqu’il a sollicité dudit expert rhumatologue un complément de rapport sur la base notamment d’une nouvelle IRM lombaire, ainsi qu’une expertise psychiatrique confiée à une psychiatre et psychothérapeute FMH. L’expert rhumatologue n’a pas modifié sa position. A en revanche été ajouté au dossier l’élément important que la recourante était affectée non seulement de maux somatiques, mais aussi de problèmes psychiatriques, sous la forme d’un trouble dépressif récurrent (alors en épisode moyen) se répercutant sur sa capacité de travail, en plus d’une dysthymie et d’une personnalité anxieuse sans répercussion sur sa capacité de travail. C’est le SMR qui, avant que la décision attaquée ne soit rendue, a procédé à une synthèse des deux expertises médicales effectuées, l’une rhumatologique et l’autre psychiatrique. Il aurait certes été souhaitable que les deux experts considérés, plutôt que de rendre chacun un rapport dans son domaine de spécialité, se concertent, évoquent les éventuelles interférences entre les deux types de maux affectant la recourante, et formulent et affinent ainsi leurs conclusions. Cela n’a pas pu être le cas pour le motif qu’ils ont été mandatés successivement par l’office intimé à deux ans d’intervalle et ont rendu leur rapport d’expertise respectif le premier le 12 octobre 2010 et la seconde le 18 août 2012. Dans ces conditions, il était concevable – en guise d’alternative à une invitation subséquente aux experts de confronter leurs appréciations respectives et d’en formuler une nouvelle conjointement – que le SMR effectue lui-même une appréciation globale de la situation. Ce faisant, il est arrivé à la conclusion que la recourante avait une capacité résiduelle globale de 50 %, le taux d’incapacité de travail de 50 % établi par l’experte psychiatre pouvant et devant être compris comme englobant celui de 25 % posé par l’expert rhumatologue. c. Quoi qu’il en soit, dans le cadre de l’instruction du présent recours, non seulement l’expert rhumatologue a été appelé à deux reprises à compléter son rapport d’expertise (en devant effectuer une nouvelle IRM lombaire de la recourante), mais encore un consilium a eu lieu entre les deux experts considérés et même aussi avec les deux médecins traitants de la recourante. Les deux rapports d’expertise, de surcroît complétés, satisfont l’un et l’autre aux réquisits jurisprudentiels permettant de leur accorder une pleine valeur probante. Tous deux ont été établis par des spécialistes des disciplines médicales ici pertinentes, qui ont disposé d’un dossier complet et aussi ont vu et ausculté la recourante, comportent une anamnèse complète et détaillée de la situation de cette dernière, relatent ses plaintes, discutent et apprécient sa situation médicale, formulent des conclusions motivées et sont convaincants. Ils portent par ailleurs sur les points litigieux pertinents, de façon finalement suffisamment élaborée et affinée au terme du consilium ordonné par la chambre de céans. Les divergences qui pourraient subsister entre leur avis convergent et celui de médecins traitants qu’a eus la recourante par le passé ne sont pas de nature à jeter le doute sur les conclusions des experts, d’autant plus que les médecins traitants actuels de la recourante ont déclaré adhérer auxdites conclusions, qui leur avaient été exposées avant même que le rapport de synthèse du Dr H______ ne soit communiqué à la chambre de céans, ainsi qu’ils l’ont confirmé à cette dernière. Le Dr N______, un des deux médecins traitants, a expliqué, lors de son audition par la chambre de céans, que la recourante rencontrait épisodiquement des problèmes digestifs consécutivement à la prise de médicaments visant à la soulager des douleurs que lui causaient ses problèmes dorsaux, en précisant que la gastroentérologue qui la suivait, soit la Dresse R______, avait prescrit des médicaments moins agressifs (mais aussi moins efficaces) pour prévenir ou diminuer ces troubles digestifs, qui – pensait-il – ne provoquaient pas d’incapacité de travail. Cette dernière n’a pas émis d’avis contraire notamment sur ce dernier point, et elle a confirmé au Dr H______ que d’autres traitements antalgiques comprenant des dérivés de la morphine étaient tout à fait envisageables d’un point de vue digestif (à l’évidence dans la perspective de soulager la recourante des douleurs que lui causaient ses problèmes dorsaux, et non de soigner son trouble dépressif récurrent majeur, comme l’interprète à tort la recourante dans sa dernière détermination). Les troubles digestifs de la recourante n’ont pas été ignorés. L’avis du Dr N______, selon lequel la recourante ne reprendrait le plus probablement plus jamais le travail même à temps partiel, n’infirme pas son accord avec les conclusions convergentes des deux experts. Cet avis corrobore plutôt l’appréciation de l’expert rhumatologue quant à la discordance que celui-ci a notée entre l’intensité des douleurs lombaires et le peu d’éléments objectifs mis en évidence radiologiquement et à l’examen clinique. S’il est vrai que ledit expert a manqué d’élégance à ce dernier sujet dans son rapport complémentaire du 20 août 2014 (sans pour autant que son avis n’en devienne suspect de partialité), il sied de souligner que le consilium intervenu finalement entre les deux experts (et, dans la mesure utile, avec les deux médecins traitants de la recourante) l’a amené à pondérer sa remarque par l’admission que ladite discordance était très probablement liée au trouble dépressif récurrent majeur de la recourante. d. Il n’y a nulle raison d’ordonner une expertise pluridisciplinaire, ainsi que le demande la recourante, ni d’autres actes d’instruction. La chambre de céans tient pour établi que, comme cela résulte de façon convaincante des rapports d’expertise complétés par le consilium précité et des autres pièces pertinentes du dossier, la recourante présente – et a présenté dès le dépôt de sa demande de rente AI en décembre 2009, voire dès son dernier arrêt de travail à 100 % en septembre 2009 – une capacité de travail résiduelle globale de 50 % dans son activité professionnelle antérieure dans le domaine du secrétariat et toutes autres activités semblables ne l’amenant pas à effectuer des travaux pénibles physiquement (avec des ports de charges réguliers de plus de 5 à 10 kg, des maintiens prolongés en position statique, des mouvements répétitifs de la colonne lombaire, des positions en porte-à-faux de la colonne lombaire, un environnement réfrigéré ou humide). e. S’agissant de la sphère professionnelle de la recourante, la position de la chambre de céans diffère donc sur deux points de celle que l’office intimé a retenue dans la décision attaquée. D’une part, ladite capacité de travail résiduelle ne doit pas être reconnue à la recourante dans quelque activité professionnelle que ce soit, et d’autre part le taux d’invalidité résultant de la comparaison des revenus à effectuer pour déterminer le degré d’invalidité propre à la part professionnelle doit être rapporté à un 80 % (et non 73 %) d’activité (consid. 4). Toutefois, comme la comparaison des revenus effectuée par l’office intimé a été faite sur la base des revenus avec et sans invalidité dans le domaine d’activités dans lequel la recourante est reconnue capable de travailler à 50 %, et que, sous cet angle, la décision attaquée n’est pas critiquée ni n’apparaît contestable, la première de ces différences reste ici sans incidence. La comparaison entre un revenu annuel brut de CHF 66'299.- (que la recourante aurait pu réaliser à 80 % dans son métier de secrétaire en 2010, sans atteinte à la santé) et celui de CHF 41'437.- (que la recourante aurait pu réaliser dans ce même métier en 2010 en mettant en œuvre sa capacité résiduelle de travail de 50 %) donne une perte de gain de CHF 24'862.-, représentant le 37.4998 % du premier de ces deux montants (ainsi que l’a retenu la décision attaquée, en arrondissant ce pourcentage à 37 %). Rapportée à un 80 % d’activité, cette perte économique donne un degré d’invalidité de 30 % afférente à la sphère professionnelle de la recourante (et non de 27 % comme le retient la décision attaquée, en ayant appliqué par inadvertance ledit pourcentage à un 73 % d’activité).</w:t>
      </w:r>
    </w:p>
    <w:p>
      <w:r>
        <w:rPr>
          <w:b/>
        </w:rPr>
        <w:t>E. 8</w:t>
      </w:r>
    </w:p>
    <w:p>
      <w:r>
        <w:t>a. Pour évaluer l'invalidité des assurés travaillant dans le ménage, l'administration procède en principe à une enquête sur les activités ménagères et fixe l'empêchement dans chacune des activités habituelles, conformément aux chiffres 3095 de la circulaire concernant l'invalidité et l'impotence de l'assurance-invalidité. Une telle enquête constitue en règle générale une base appropriée et suffisante pour évaluer les empêchements dans l’accomplissement des travaux habituels (ATF 128 V 93).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 du Tribunal fédéral des assurances non publiés I 308/04 et I 309/04 du 14 janvier 2005).</w:t>
      </w:r>
    </w:p>
    <w:p>
      <w:r>
        <w:rPr>
          <w:b/>
        </w:rPr>
        <w:t>E. 9</w:t>
      </w:r>
    </w:p>
    <w:p>
      <w:r>
        <w:t>a. En l’espèce, l’office intimé a procédé à deux enquêtes économiques sur le ménage, effectuées toutes deux par des spécialistes de son service extérieur, respectivement en décembre 2010 avant de rendre son premier projet de décision, puis en avril 2013 après qu’il eut pris en compte les problèmes psychiatriques s’ajoutant aux problèmes somatiques dorsaux. Il a par ailleurs requis une prise de position de la seconde enquêtrice à la suite des observations formulées par la recourante à l’encontre de son second projet de décision, prise de position qui a été faite le 26 septembre 2013. b. Les deux rapports d’enquête économique sur le ménage de la recourante sont fondés sur des taux respectifs d’activité professionnelle de 80 % et d’activités habituelles (ou ménagères) de 20 %. Ni l’un ni l’autre ne retiennent d’exigibilité à la charge de proches de la recourante. Il n’y a pas de contestation de la part de la recourante sur ces deux points, pas plus d’ailleurs que sur la pondération – légèrement différente – des diverses activités prises en compte, à savoir (les chiffres indiqués ci-après entre parenthèses étant ceux de la première enquête) : 3 % (5 %) pour la conduite du ménage ; 40 % (43 %) pour l’alimentation ; 20 % (20 %) pour l’entretien du logement ; 10 % (10 %) pour les emplettes et les courses ; 20 % (20 %) pour la lessive et l’entretien des vêtements ; 0 % (0 %) pour les soins aux enfants ; 7 % (2 %) pour les diverses autres tâches ménagères. Ces différences de taux de pondération sont insignifiantes. La chambre de céans retient la pondération de la seconde enquête, parce que cette dernière a été faite plus récemment (donc de façon plus proche de la prise de la décision attaquée) et, surtout, en tenant compte du fait que la recourante est aussi affectée d’un trouble dépressif récurrent. c. La recourante estime que ses difficultés d’accomplir ses diverses tâches ménagères ont été sous-estimées. Ses taux d’empêchement devraient, selon elle, être d'au moins 80 % pour l'alimentation, 90 % pour l'entretien du logement, 80 % pour les emplettes et les courses, 90 % pour la lessive et l'entretien des vêtements, et 50 % pour les activités regroupées sous la rubrique « divers ». Comme l’avait fait la première enquêtrice, la seconde s'est rendue au domicile de la recourante, y a rencontré cette dernière, a entendu ses remarques, et a été au courant de ses problèmes de santé (la seconde – comme relevé ci-dessus – également de son trouble dépressif récurrent). Elle a pu se prononcer en pleine connaissance de sa situation personnelle et familiale, ainsi que de son environnement. Comme d’ailleurs celui de la première enquêtrice, son rapport décrit dans le détail, rubrique par rubrique, les possibilités et difficultés de la recourante d'accomplir les activités ménagères ainsi catégorisées. Les deux rapports sont dûment motivés. Ils satisfont l’un et l’autre aux exigences jurisprudentielles auxquelles est subordonnée la reconnaissance de force probante de tels rapports, le premier toutefois avec la réserve qu’il est plus ancien et n’a pas pris en compte les problèmes psychiatriques de la recourante. Le second rapport retient des taux d’empêchement plus élevés que le premier pour les postes suivants (les chiffres indiqués ci-après entre parenthèses étant ceux de la première enquête) : 25 % (20 %) pour l’alimentation ; 65 % (50 %) pour l’entretien du logement ; 10 % (0 %) pour les emplettes et le courses. Mais il retient des taux d’empêchement un peu moins élevés pour deux postes : 20 % (30 %) pour la lessive et l’entretien des vêtements, et 20 % (30 %) pour les « divers ». d. Pour l’alimentation, la seconde enquêtrice a pu tenir compte du fait que la recourante vivait désormais séparée de son mari, seule, et qu’en plus elle suivait un régime en raison de ses problèmes digestifs, impliquant une alimentation plus simple, sans fibres donc sans légumes verts ni fruits. La recourante ne justifie pas que son taux d’empêchement serait d’au moins 80 % pour ce poste. Il n’y a pas lieu de s’écarter de l’appréciation de la seconde enquêtrice, plus actuel que le premier. Pour l’entretien du logement, le taux d’empêchement retenu par la seconde enquêtrice est important, puisqu’il est de 65 %. La seconde enquêtrice a relevé à juste titre, dans sa note de travail subséquente, qu’il pouvait être exigé de la recourante qu’elle passe l’aspirateur de temps en temps, à son rythme, une pièce après l’autre et de manière fractionnée, en s’accordant des pauses pour se reposer, de même que pour laver les sols avec un balai, nettoyer les sanitaires et assumer quelques aspects des grands nettoyages. Cet avis se trouve corroboré par l’appréciation que l’expert rhumatologue a émise les 6 juin et 20 août 2014, à savoir que la recourante n'était que modérément limitée pour passer l'aspirateur, porter une panière de linge, faire les lits, laver la baignoire, passer une serpillère. Un taux d’empêchement de 65 % apparaît justifié, y compris au regard du fait que la recourante ne pourrait plus s’offrir les services d’une étudiante pour l’aider à entretenir son logement. Les limitations que rencontre la recourante pour faire ses emplettes et courses diverses justifient qu’un taux d’empêchement soit retenu à ce titre. L’obligation de réduire le dommage, qui contraint à fournir des efforts et à faire montre d’inventivité, amène à se montrer en l’espèce restrictif dans la fixation du taux d’empêchement de la recourante, car il est vrai – quand bien même cela peut paraître sévère – que cette dernière dispose de moyens pour faire face aux nécessités liées à cette activité, à savoir, comme l’a relevé la seconde enquêtrice, se rendre seule au centre commercial avec sa voiture, y pousser le caddie et faire des courses, transvaser les courses du caddie au coffre de sa voiture en fractionnant ses achats dans des cabas séparés, et de même remonter ses courses à l'appartement de manière fractionnée ; il lui est par ailleurs loisible de se faire livrer les boissons à domicile par des entreprises fournissant cette prestation, et aussi d’utiliser l'e-banking pour payer ses factures et faire ses courses par internet et ainsi se faire livrer à domicile les choses qu'elle ne pouvait pas porter. D’après l’expert rhumatologue, la recourante était modérément limitée pour porter des courses et des achats ; elle était limitée à partir de charges de 10 kg et plus. Retenir un taux d’empêchement de 10 % seulement, comme l’a fait la seconde enquêtrice, ne consacre pas un excès ou un abus de pouvoir d’appréciation que la chambre de céans pourrait censurer. Pour la lessive et l’entretien des vêtements, dans la même ligne que pour la rubrique précédente, il se justifie de retenir, ainsi que l’a expliqué la seconde enquêtrice, que la recourante utilisait et pouvait en tout état utiliser un sèche-linge, que l'activité consistant à plier le linge ne nécessitait pas de position en porte-à-faux de la colonne lombaire, en plus que la recourante pouvait adapter ses vêtements en préférant ceux qui ne se froissaient pas ou ne nécessitaient pas d'être repassés, et qu'elle pouvait faire de façon fractionnée quelques petits travaux de raccommodage. Dans cette perspective, un taux d’empêchement de 20 % n’est pas critiquable. Enfin, la recourante n’explique pas et on ne voit pas pourquoi il faudrait retenir un taux d’empêchement de 50 % pour les activités regroupées sous la rubrique « Divers », visant des activités telles que les soins infirmiers, l’entretien des plantes, le jardinage, la garde d’animaux domestiques, la confection de vêtements, des activités d’utilité publique, une formation complémentaire, la création artistique. Retenir à ce titre 20 %, comme l’a fait la seconde enquêtrice, échappe au grief d’excès ou d’abus du pouvoir d’appréciation de l’administration. e. En résumé, la chambre de céans ne voit pas de raison de s'écarter des taux d'empêchements retenus par l'office intimé, sur la base du second rapport d’enquête économique sur le ménage de la recourante. Il s’ensuit que, rapportés au taux de pondération des différentes rubriques considérées, les degrés d’invalidité relatifs à ces dernières sont respectivement de 0 % pour la conduite du ménage, 10 % pour l’alimentation, 13 % pour l’entretien du logement, 1 % pour les emplettes et les courses, 4 % pour la lessive et l’entretien des vêtements, 0 % pour les soins aux enfants, et 1.4 % pour les diverses autres tâches ménagères, donc au total de 29.4 %. Le degré d’invalidité que la recourante présente dans sa sphère ménagère de 20 % (et non de 27 %) est donc de 5.88 % (29 % x 20 %), chiffre à arrondir en l’occurrence au pourcent supérieur, soit à 6 % (ATF 130 V 121 consid. 3).</w:t>
      </w:r>
    </w:p>
    <w:p>
      <w:r>
        <w:rPr>
          <w:b/>
        </w:rPr>
        <w:t>E. 10</w:t>
      </w:r>
    </w:p>
    <w:p>
      <w:r>
        <w:t>Les degrés d’invalidité de la sphère professionnelle et de la sphère ménagère doivent être additionnés pour obtenir le degré d’invalidité déterminant. Ce dernier est donc de 36 % (30 % + 6 %). Il est inférieur au minimum de 40 % que fixe l’art. 28 al. 2 LAI pour ouvrir un droit à une rente d’invalidité. La recourante ne conteste par ailleurs pas et il n’apparaît pas contestable que des mesures d’ordre professionnel ne sont pas indiquées (art. 15 ss LAI). Le recours doit donc être rejeté.</w:t>
      </w:r>
    </w:p>
    <w:p>
      <w:r>
        <w:rPr>
          <w:b/>
        </w:rPr>
        <w:t>E. 11</w:t>
      </w:r>
    </w:p>
    <w:p>
      <w:r>
        <w:t>a. En dérogation à l’art. 61 let. a LPGA, prévoyant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dont le montant doit se situer entre CHF 200.- et CHF 1'000.-, indépendamment de la valeur litigieuse (cf. aussi art. 89H al. 4 LPA). En l’espèce, un émolument de CHF 200.- sera mis à la charge de la recourante. b. Il n’y a pas lieu d’allouer d’indemnité de procédure à la recourante, dès lors que cette dernière n’obtient pas gain de cause (art. 89H LPA).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