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A/3289/2024 vom 7. Juni 2024</w:t>
      </w:r>
    </w:p>
    <w:p>
      <w:r>
        <w:t>GE Cour de justice, 2024-06-07, FR</w:t>
      </w:r>
    </w:p>
    <w:p>
      <w:r>
        <w:rPr>
          <w:b/>
        </w:rPr>
        <w:t xml:space="preserve">Quelle: </w:t>
      </w:r>
      <w:r>
        <w:t>https://mcp.opencaselaw.ch/entscheid/ge_gerichte_A_3289_2024</w:t>
      </w:r>
    </w:p>
    <w:p>
      <w:r>
        <w:t>FR: GE_GERICHTE A/3289/2024 du 7 juin 2024</w:t>
      </w:r>
    </w:p>
    <w:p>
      <w:r>
        <w:t>IT: GE_GERICHTE A/3289/2024 del 7 giugno 2024</w:t>
      </w:r>
    </w:p>
    <w:p>
      <w:pPr>
        <w:pStyle w:val="Heading2"/>
      </w:pPr>
      <w:r>
        <w:t>Erwägungen</w:t>
      </w:r>
    </w:p>
    <w:p>
      <w:r>
        <w:rPr>
          <w:b/>
        </w:rPr>
        <w:t>E. 1.1</w:t>
      </w:r>
    </w:p>
    <w:p>
      <w:r>
        <w:t>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Interjeté dans la forme et le délai prévus par la loi, le recours est prima facie recevable (art. 56 et 60 de la LPGA ; art. 89B de la loi sur la procédure administrative du 12 septembre 1985 [(LPA-GE - E 5 10)].</w:t>
      </w:r>
    </w:p>
    <w:p>
      <w:r>
        <w:rPr>
          <w:b/>
        </w:rPr>
        <w:t>E. 2</w:t>
      </w:r>
    </w:p>
    <w:p>
      <w:r>
        <w:t>Le recourant a requis la restitution de l’effet suspensif au recours, étant relevé que celui-ci est effectif s’agissant de la demande de remboursement portant sur la période du 1 er novembre 2023 au 30 juin 2024.</w:t>
      </w:r>
    </w:p>
    <w:p>
      <w:r>
        <w:rPr>
          <w:b/>
        </w:rPr>
        <w:t>E. 3.1</w:t>
      </w:r>
    </w:p>
    <w:p>
      <w:r>
        <w:t>À teneur de l’art. 49 al. 5 LPGA, en vigueur depuis le 1 er janvier 2021, dans sa décision, l’assureur peut priver toute opposition ou tout recours de l’effet suspensif, même si cette décision porte sur une prestation en espèces. Les décisions ordonnant la restitution de prestations versées indûment sont exceptées. Ces principes s’appliquent également aux décisions sur opposition ( cf. art. 52 al. 4 LPGA entré en vigueur le 1 er janvier 2021). Selon le message du Conseil fédéral du 2 mars 2018 concernant la modification de la LPGA (FF 2018 1597), l’art. 49 al. 5 LPGA correspond à l’ancien art. 97 de la loi fédérale sur l'assurance-vieillesse et survivants du 20 décembre 1946 (LAVS - RS 831.10), en vigueur jusqu’au 31 décembre 2020, qui s’appliquait par analogie à l’assurance-invalidité et aux prestations complémentaires ( cf. art. 66 LAI et 27 de la loi fédérale sur les prestations complémentaires du 6 octobre 2006 [LPC – RS 831.30] dans leur teneur en vigueur jusqu’au 31 décembre 2020), et selon la jurisprudence, également par analogie à l’assurance-chômage et à l’assurance-maladie. Il était alors possible, par une application étendue de l’art. 55 al. 2 de la loi du 20 décembre 1968 sur la procédure administrative (PA - RS 107.021) en relation avec l’art. 55 al. 1 LPGA, de priver de l’effet suspensif tout recours éventuel contre une décision qui ne portait pas sur une prestation en espèces. De plus, conformément à la jurisprudence et à la majorité de la doctrine, mais contrairement à la lettre de la loi, seule une décision qui engageait son destinataire à une prestation en espèces était considérée comme une décision portant sur une prestation en espèces. Par conséquent, les décisions d’octroi de prestations des assurances sociales ne constituaient pas des décisions portant sur une prestation en espèces au sens de la PA. Si une prestation en espèces (durable ou non) était interrompue ou réduite, l’effet suspensif pouvait donc être retiré. Le Conseil fédéral a estimé que pour prévenir tout flou juridique dans ce domaine – puisqu’il est courant, dans les assurances sociales, de qualifier de prestations en espèces des prestations comme les rentes, les indemnités journalières, l’allocation pour impotent, etc. ( cf. à ce sujet la définition des prestations en espèces à l’art. 15 LPGA) –, il était nécessaire d’élaborer une base légale claire pour toutes les assurances sociales soumises à la LPGA. La nouvelle réglementation assure ainsi la sécurité juridique et elle est essentielle, notamment en lien avec la règle relative à la suspension des prestations à titre provisionnel prévue par le nouvel art. 52 a LPGA, entré en vigueur le 1 er janvier 2021. La pratique fondée sur l’ATF 130 V 407 , qui n’autorise pas le retrait de l’effet suspensif en cas de créances en restitution de prestations indûment perçues, n’est en revanche pas modifiée en vertu de cette harmonisation de la LPGA ( cf. art. 49 al. 5 2 e phrase LPGA).</w:t>
      </w:r>
    </w:p>
    <w:p>
      <w:r>
        <w:rPr>
          <w:b/>
        </w:rPr>
        <w:t>E. 3.2</w:t>
      </w:r>
    </w:p>
    <w:p>
      <w:r>
        <w:t>Les dispositions de la PA continuent à s’appliquer pour les questions liées à l’effet suspensif qui ne sont pas réglées par l’art. 49 al. 5 LPGA ( cf. art. 55 al. 1 LPGA). Le juge saisi du recours peut restituer l'effet suspensif à un recours auquel l’autorité inférieure l’avait retiré ; la demande de restitution de l’effet suspensif étant traitée sans délai, conformément à l'art. 55 al. 3 PA.</w:t>
      </w:r>
    </w:p>
    <w:p>
      <w:r>
        <w:rPr>
          <w:b/>
        </w:rPr>
        <w:t>E. 3.3</w:t>
      </w:r>
    </w:p>
    <w:p>
      <w:r>
        <w:t>Selon la jurisprudence, le retrait de l’effet suspensif est le fruit d’une pesée des intérêts qui s’inscrit dans l’examen général du principe de la proportionnalité, lequel exige qu’une mesure restrictive soit apte à produire les résultats escomptés (règle de l’aptitude) et que ceux-ci ne puissent pas être atteints par une mesure moins incisive (règle de la nécessité). En outre, il interdit toute limitation allant au-delà du but visé et il exige un rapport raisonnable entre celui-ci et les intérêts publics ou privés compromis (ATF 142 I 76 consid. 3.5.1 et la référence). La possibilité de retirer ou de restituer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 il faut cependant qu'elles ne fassent aucun doute (ATF 124 V 82 consid. 6a ; arrêt du Tribunal fédéral 9C_885/2014 du 17 avril 2015 consid. 4.2). L'intérêt de la personne assurée à pouvoir continuer à bénéficier des prestations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ou la suppression des prestations.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il serait effectivement à craindre qu'une éventuelle procédure en restitution des prestations versées à tort ne se révèle infructueuse (ATF 119 V 503 consid. 4 et les références ; arrêt du Tribunal fédéral 9C_207/2014 du 1 er mai 2014 consid. 5.3 et les références). La jurisprudence a également précisé que le retrait de l'effet suspensif prononcé dans le cadre d'une décision de diminution ou de suppression de rente à la suite d'une procédure de révision couvrait également la période courant jusqu'à ce qu'une nouvelle décision soit rendue après le renvoi de la cause par le tribunal cantonal des assurances pour instruction complémentaire, pour autant que la procédure de révision n'a pas été initiée de façon abusive (ATF 129 V 370 consid. 4 ; voir également arrêts du Tribunal fédéral 9C_ 846/2018 du 29 novembre 2019 consid. 7.1 et 9C_207/2014 du 1 er mai 2014 consid. 5.3).</w:t>
      </w:r>
    </w:p>
    <w:p>
      <w:r>
        <w:rPr>
          <w:b/>
        </w:rPr>
        <w:t>E. 4</w:t>
      </w:r>
    </w:p>
    <w:p>
      <w:r>
        <w:t>En l’espèce, le litige porte sur le bien-fondé de la prise en compte, par l’intimé, d’un revenu hypothétique de l’épouse du recourant, à hauteur de CHF 40'431.10 (soit 80% de CHF 50'538.90), dès le 1 er avril 2024, soit pour une activité exercée à un taux de 100%.</w:t>
      </w:r>
    </w:p>
    <w:p>
      <w:r>
        <w:rPr>
          <w:b/>
        </w:rPr>
        <w:t>E. 4.1</w:t>
      </w:r>
    </w:p>
    <w:p>
      <w:r>
        <w:t>En vertu de l'art. 11a al. 1 LPC, en vigueur depuis le 1 er janvier 2021, si une personne renonce volontairement à exercer une activité lucrative que l’on pourrait raisonnablement exiger d’elle, le revenu hypothétique correspondant est pris en compte comme revenu déterminant. La prise en compte de ce revenu est réglée par l’art. 11 al. 1 let. a LPC, dont la deuxième phrase stipule que pour les conjoints qui n’ont pas droit aux prestations complémentaires, le revenu de l’activité lucrative est pris en compte à hauteur de 80%.</w:t>
      </w:r>
    </w:p>
    <w:p>
      <w:r>
        <w:rPr>
          <w:b/>
        </w:rPr>
        <w:t>E. 4.2</w:t>
      </w:r>
    </w:p>
    <w:p>
      <w:r>
        <w:t>Il appartient à l'administration ou, en cas de recours, au juge d'examiner si l'on peut exiger de l'intéressé qu'il exerce une activité lucrative et, le cas échéant, de fixer le salaire qu'il pourrait en retirer en faisant preuve de bonne volonté. Pour ce faire, il y a lieu d'appliquer à titre préalable les principes du droit de la famille, compte tenu des circonstances du cas d'espèce. Les critères décisifs auront notamment trait à l'âge de la personne, à son état de santé, à ses connaissances linguistiques, à sa formation professionnelle, à l'activité exercée jusqu'ici, au marché de l'emploi, et le cas échéant, au temps plus ou moins long pendant lequel il aura été éloigné de la vie professionnelle (ATF 142 V 12 ; 134 V 53 consid. 4.1 et les références). On est en droit d'attendre du parent se consacrant à la prise en charge de l'enfant qu'il recommence à travailler, en principe, à 50% dès l'entrée du plus jeune enfant à l'école obligatoire, à 80% à partir du moment où celui-ci débute le degré secondaire, et à 100% dès qu'il atteint l'âge de 16 ans révolus (ATF 144 III 481 consid. 4.7.6 ; arrêt du Tribunal fédéral 8C_500/2023 du 24 janvier 2024 consid. 4.2). L'obligation faite à la femme d'exercer une activité lucrative s'impose en particulier lorsque l'époux n'est pas en mesure de le faire à raison de son invalidité parce qu'il incombe à chacun de contribuer à l'entretien et aux charges du ménage. Dès lors que l'épouse y renonce, il y a lieu de prendre en compte un revenu hypothétique après une période dite d'adaptation (arrêt du Tribunal fédéral P 40/03 du 9 février 2005 consid. 4.2).</w:t>
      </w:r>
    </w:p>
    <w:p>
      <w:r>
        <w:rPr>
          <w:b/>
        </w:rPr>
        <w:t>E. 4.2.1</w:t>
      </w:r>
    </w:p>
    <w:p>
      <w:r>
        <w:t>La chambre de céans a jugé qu'il pouvait être attendu de l'épouse d'un assuré, alors âgée de près de 35 ans, disposant d'une pleine capacité de travail, en bonne santé, ayant accès au marché du travail, épouse d'un invalide à 100% et mère d'un enfant alors âgé de 3 ans, qu'elle mette pleinement en œuvre sa capacité de travail, en cherchant un emploi à plein temps plutôt qu'en se contentant de son emploi à mi-temps. Le cas d'espèce présentait toutefois la double particularité que ladite épouse consacrait son demi temps disponible à suivre une formation et que son époux, quoique invalide à 100%, était pleinement disponible et en mesure de s'occuper de l'enfant en question et même d'un premier enfant issu de son premier mariage ( ATAS/1157/2014 du 11 novembre 2014). Il a également été jugé que l'épouse d'un assuré, encore jeune (37 ans), disposant d'une bonne instruction de base, parlant relativement bien le français, dont l'époux au bénéfice d'une rente entière d'invalidité était occupé à la Fondation PRO au maximum de ses possibilités (soit à 50%) et ne pouvait, du fait de sa fatigue au retour de ce travail, l'aider dans les tâches ménagères et éducatives, pouvait prendre un emploi à mi-temps seulement - respectivement devait se voir opposer la prise en compte d'un gain potentiel correspondant - dès lors que les trois premiers enfants du couple (âgés de 12 à 14 ans) étaient scolarisés tant que le quatrième enfant, alors âgé de un an et demi, ne le serait pas ( ATAS/468/2004 du 16 juin 2014). Un taux d'activité lucrative possible de 50% a été retenu pour une épouse ayant des enfants à charge, travaillant déjà comme patrouilleuse scolaire, mais à raison de 22 heures par mois seulement, et dont l'état de santé permettait d'exercer des travaux de nettoyage deux heures par jour, en sus de l'activité de patrouilleuse ( ATAS/372/2004 du 25 mai 2004). De même, une capacité de travail partielle a été retenue pour une épouse de 48 ans, analphabète, n'ayant jamais exercé d'activité lucrative ni bénévole, avec des enfants adultes et adolescents, de santé fragile, atteinte de fibromyalgie et pour laquelle l'OAI n'avait pas retenu de troubles invalidants ( ATAS/246/2006 du 14 mars 2006 ; ATAS/1445/2007 du 19 décembre 2007).</w:t>
      </w:r>
    </w:p>
    <w:p>
      <w:r>
        <w:rPr>
          <w:b/>
        </w:rPr>
        <w:t>E. 4.2.2</w:t>
      </w:r>
    </w:p>
    <w:p>
      <w:r>
        <w:t>La chambre de céans a estimé qu'aucun gain potentiel de l'épouse ne pouvait être pris en compte pour le calcul du droit de son mari aux prestations complémentaires, dès lors que ladite épouse devait s'occuper de trois enfants non encore scolarisés (en plus de deux enfants scolarisés depuis un à deux ans), ne pouvait compter sur la participation de son mari aux tâches ménagères et éducatives du fait de son état de santé, et qu'elle-même ne bénéficiait d'aucune instruction de base, parlait mal le français et n'était que titulaire d'un permis F. Il a néanmoins été précisé ne pas voir pourquoi ladite assurée, encore jeune et en bonne santé, serait empêchée de prendre un emploi à mi-temps dès que le plus jeune de ses enfants à charge serait scolarisé ( ATAS/1100/2014 du 21 octobre 2014). Tout gain potentiel a encore été exclu pour une épouse n'ayant aucune formation, ne parlant pratiquement pas le français et ayant plusieurs enfants en bas âge ( ATAS/750/2004 du 28 septembre 2004). Il en a été de même pour une jeune épouse ayant quatre enfants, dont le plus âgé avait seulement 5 ans. Dans cette affaire, la chambre de céans a toutefois précisé que la situation pourrait être revue lorsque les enfants seraient scolarisés, ce qui permettrait à l'épouse de dégager du temps pour exercer une activité lucrative à temps partiel ( ATAS/553/2014 du 22 avril 2014). Un gain hypothétique a été exclu durant le dernier mois de grossesse de l'épouse du bénéficiaire ainsi que durant le congé maternité ; il pouvait cependant être attendu de celle-ci qu'elle reprenne une activité lucrative après le congé maternité au vu de sa bonne formation et malgré la présence de deux enfants en bas âge dont l'un nécessite un suivi de logopédie de quarante-cinq minutes par semaine et de psychomotricité de soixante minutes par semaine ( ATAS/111/2016 du 10 février 2016). Enfin, il a été tenu compte d’un revenu hypothétique d’une activité à un taux de 50% pour l’épouse en charge de trois enfants, dont le dernier n’était pas scolarisé ( ATAS/150/2023 du 7 mars 2023 consid. 8.2.5 et 8.2.6).</w:t>
      </w:r>
    </w:p>
    <w:p>
      <w:r>
        <w:rPr>
          <w:b/>
        </w:rPr>
        <w:t>E. 5</w:t>
      </w:r>
    </w:p>
    <w:p>
      <w:r>
        <w:t>En l’occurrence, l’épouse du recourant a accouché le 27 novembre 2023, de sorte qu’au 1 er avril 2024 son enfant était âgé de quatre mois. Par ailleurs, il n’est pas contesté par l’intimé qu’elle ne parle pas le français et qu’elle était domiciliée une grande partie de sa vie au Pakistan. Dans ces conditions et au vu de la jurisprudence précitée, il apparait sans aucun doute qu’une activité à un taux de 50% au maximum pourrait être retenue à l’égard de cette dernière, à titre de revenu hypothétique. S’agissant du montant du gain hypothétique, il n’y a pas lieu, prima facie , de le modifier, le recourant faisant valoir l’art. 36E al. 3 LPCC, lequel se rapporte au calcul des prestations complémentaires familiales. En conséquence, le gain hypothétique à retenir, à tout le moins dès le 1 er juillet 2024, est de CHF 25'269.45 (50'538.90 : 2), soit, à hauteur de 80%, de CHF 20'250.60, de sorte que l’effet suspensif doit être partiellement admis, dans le sens que des prestations complémentaires doivent être immédiatement allouées au recourant par l’intimé dès le 1 er juillet 2024, en tenant compte du revenu hypothétique précité. PAR CES MOTIFS, LA CHAMBRE DES ASSURANCES SOCIALES : Statuant selon l’art. 21 al. 2 LPA-GE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