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A/327/2022 vom 13. April 2023</w:t>
      </w:r>
    </w:p>
    <w:p>
      <w:r>
        <w:t>GE Cour de justice, 2023-04-13, FR</w:t>
      </w:r>
    </w:p>
    <w:p>
      <w:r>
        <w:rPr>
          <w:b/>
        </w:rPr>
        <w:t xml:space="preserve">Quelle: </w:t>
      </w:r>
      <w:r>
        <w:t>https://mcp.opencaselaw.ch/entscheid/ge_gerichte_A_327_2022</w:t>
      </w:r>
    </w:p>
    <w:p>
      <w:r>
        <w:t>FR: GE_GERICHTE A/327/2022 du 13 avril 2023</w:t>
      </w:r>
    </w:p>
    <w:p>
      <w:r>
        <w:t>IT: GE_GERICHTE A/327/2022 del 13 aprile 2023</w:t>
      </w:r>
    </w:p>
    <w:p>
      <w:pPr>
        <w:pStyle w:val="Heading2"/>
      </w:pPr>
      <w:r>
        <w:t>Erwägungen</w:t>
      </w:r>
    </w:p>
    <w:p>
      <w:r>
        <w:rPr>
          <w:b/>
        </w:rPr>
        <w:t>E. 3</w:t>
      </w:r>
    </w:p>
    <w:p>
      <w:r>
        <w:t>La procédure simplifiée s’applique aux litiges portant sur des assurances complémentaires à l’assurance-maladie sociale au sens de la LAMal (art. 243 al. 2 let. f CPC) et la Cour de céans établit les faits d’office (art. 247 al. 2 let. a CPC).![endif]&gt;![if&gt;</w:t>
      </w:r>
    </w:p>
    <w:p>
      <w:r>
        <w:rPr>
          <w:b/>
        </w:rPr>
        <w:t>E. 3.1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notamment d’un avocat (ATF 141 III 569 consid. 2.3.2 ; Stephan MAZAN, Basler Kommentar, ZPO, 3 ème éd. 2017, n. 19, ad. art. 247 CPC). Dans un tel cas, il ne revient notamment pas au juge d’élargir de lui-même le complexe de fait ou de rechercher les faits à l’aide de moyens de preuve allant au-delà de ceux proposés par la ou les partie(s) concernée(s) (arrêts du Tribunal fédéral 5A_875/2015 du 22 avril 2016 consid. 3.2.2 ; 5A_298/2015 du 30 septembre 2015 consid. 2.1.2). Il faut en effet partir du point de vue que les choix procéduraux réalisés par une partie assistée d’un avocat sont délibérés (cf. Denis TAPPY, Commentaire romand du CPC, 2 ème éd. 2019, n. 25 et 27 ad. art. 247 CPC).![endif]&gt;![if&gt; 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w:t>
      </w:r>
    </w:p>
    <w:p>
      <w:r>
        <w:rPr>
          <w:b/>
        </w:rPr>
        <w:t>E. 3.2</w:t>
      </w:r>
    </w:p>
    <w:p>
      <w:r>
        <w:t>En l’espèce, les parties, représentées par des professionnels du droit, n’ont pas requis de mesures d’instruction particulières, et en particulier pas d’expertise judiciaire. La cause doit donc être tranchée sur la base des allégués et pièces produits à la procédure jusqu’aux délibérations, sans que la Cour de céans ne soit strictement liée par les déterminations des parties ou la formulation précise des allégations.![endif]&gt;![if&gt;</w:t>
      </w:r>
    </w:p>
    <w:p>
      <w:r>
        <w:rPr>
          <w:b/>
        </w:rPr>
        <w:t>E. 4</w:t>
      </w:r>
    </w:p>
    <w:p>
      <w:r>
        <w:t>Selon les art. 245 et 246 CPC, la procédure simplifiée implique en principe la tenue d’une audience.![endif]&gt;![if&gt;</w:t>
      </w:r>
    </w:p>
    <w:p>
      <w:r>
        <w:rPr>
          <w:b/>
        </w:rPr>
        <w:t>E. 4.1</w:t>
      </w:r>
    </w:p>
    <w:p>
      <w:r>
        <w:t>En présence d’une demande motivée, une audience de débats principaux doit être tenue en procédure simplifiée, la lettre française de l’art. 245 al. 2 CPC étant à cet égard imprécise (ATF 140 III 450 consid. 3.2) ; les parties peuvent toutefois validement renoncer à cette audience en application de l’art. 233 CPC (ATF 140 III 450 consid. 3.2). Cette renonciation n’est pas soumise à une forme particulière, et peut notamment être réalisée par actes concluants (ATF 140 III 450 consid. 3.2 ; arrêt du Tribunal fédéral 4A_308/2020 du 5 novembre 2020 consid. 3.1). Par ailleurs,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2.1).![endif]&gt;![if&gt;</w:t>
      </w:r>
    </w:p>
    <w:p>
      <w:r>
        <w:rPr>
          <w:b/>
        </w:rPr>
        <w:t>E. 4.2</w:t>
      </w:r>
    </w:p>
    <w:p>
      <w:r>
        <w:t>En l’espèce, les parties ont renoncé de manière valable à la tenue de débats principaux. La défenderesse a ainsi expressément renoncé à une telle audience dans son mémoire de réponse du 15 mars 2022, sans modifier sa position par la suite. Quant au demandeur, il n’a pas requis une telle audience dans le délai qui lui avait été fixé pour ce faire. Il doit donc être considéré qu’il a renoncé par actes concluants à la tenue de débats principaux, d’autant que lui non plus n’a pas requis la tenue d’une audience par la suite (cf. également arrêt du Tribunal fédéral 4A_627/2015 du 9 juin 2016 consid. 2.3).![endif]&gt;![if&gt;</w:t>
      </w:r>
    </w:p>
    <w:p>
      <w:r>
        <w:rPr>
          <w:b/>
        </w:rPr>
        <w:t>E. 5</w:t>
      </w:r>
    </w:p>
    <w:p>
      <w:r>
        <w:t>![endif]&gt;![if&gt;</w:t>
      </w:r>
    </w:p>
    <w:p>
      <w:r>
        <w:rPr>
          <w:b/>
        </w:rPr>
        <w:t>E. 5.1</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 128 III 271 consid. 2b/aa). Ainsi, lorsque l’appréciation des preuves le convainc de la réalité ou de l’inexistence d’un fait, la question de la répartition du fardeau de la preuve ne se pose plus (ATF 128 III 271 consid. 2b/aa).![endif]&gt;![if&gt;</w:t>
      </w:r>
    </w:p>
    <w:p>
      <w:r>
        <w:rPr>
          <w:b/>
        </w:rPr>
        <w:t>E. 5.2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et les références). Ces principes sont également applicables dans le domaine du contrat d’assurance (ATF 130 III 321 consid. 3.1).![endif]&gt;![if&gt;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5.3</w:t>
      </w:r>
    </w:p>
    <w:p>
      <w:r>
        <w:t>La preuve de la survenance d’un sinistre et de l’étendue de la prétention incombe à son prétendu ayant droit (ATF 130 III 321 consid. 3.1 ; arrêts du Tribunal fédéral 4A_193/2008 du 8 juillet 2008 consid. 2.1.1 ; 4D_73/2007 du 12 mars 2008 consid. 2.2 ; ATAS/325/2019 du 15 avril 2019 consid. 9).![endif]&gt;![if&gt;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Cette précision de jurisprudence concerne le droit matériel et est donc directement applicable (ATF 146 I 105 consid. 5.2.1 ; 140 IV 154 consid. 5.2.1), y compris au présent litige.</w:t>
      </w:r>
    </w:p>
    <w:p>
      <w:r>
        <w:rPr>
          <w:b/>
        </w:rPr>
        <w:t>E. 6</w:t>
      </w:r>
    </w:p>
    <w:p>
      <w:r>
        <w:t>![endif]&gt;![if&gt;</w:t>
      </w:r>
    </w:p>
    <w:p>
      <w:r>
        <w:rPr>
          <w:b/>
        </w:rPr>
        <w:t>E. 6.1</w:t>
      </w:r>
    </w:p>
    <w:p>
      <w:r>
        <w:t>Aux termes de l’art. 168 al. 1 CPC, les moyens de preuve sont le témoignage (let. a), les titres (let. b), l’inspection (let. c), l’expertise (let. d), les renseignements écrits (let. e), l’interrogatoire et la déposition de partie (let. f).![endif]&gt;![if&gt;</w:t>
      </w:r>
    </w:p>
    <w:p>
      <w:r>
        <w:rPr>
          <w:b/>
        </w:rPr>
        <w:t>E. 6.2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w:t>
      </w:r>
    </w:p>
    <w:p>
      <w:r>
        <w:rPr>
          <w:b/>
        </w:rPr>
        <w:t>E. 6.2.1</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 rapport d’expertise contient des contradictions, lorsqu’une détermination ultérieure de son auteur vient la démentir sur des points importants, lorsqu’il contient des constatations factuelles erronées ou des lacunes, voire lorsqu’il se fonde sur des pièces dont le juge apprécie autrement la valeur probante ou la portée (ATF 110 Ib 52 consid. 2 ; arrêt du Tribunal fédéral 4D_8/2008 du 31 mars 2008 consid. 3.2.1).![endif]&gt;![if&gt;</w:t>
      </w:r>
    </w:p>
    <w:p>
      <w:r>
        <w:rPr>
          <w:b/>
        </w:rPr>
        <w:t>E. 6.2.2</w:t>
      </w:r>
    </w:p>
    <w:p>
      <w:r>
        <w:t>L’expertise, en tant que moyen de preuve admis au sens de l’art. 168 al. 1 let. d CPC, ne vise que l’expertise judiciaire au sens de l’art 183 al. 1 CPC (ci-dessus : consid. 5.1 et 5.2.1).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![endif]&gt;![if&gt;</w:t>
      </w:r>
    </w:p>
    <w:p>
      <w:r>
        <w:rPr>
          <w:b/>
        </w:rPr>
        <w:t>E. 6.2.3</w:t>
      </w:r>
    </w:p>
    <w:p>
      <w:r>
        <w:t>En ce qui concerne les rapports des médecins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2021 consid. 7.1). ![endif]&gt;![if&gt;</w:t>
      </w:r>
    </w:p>
    <w:p>
      <w:r>
        <w:rPr>
          <w:b/>
        </w:rPr>
        <w:t>E. 7</w:t>
      </w:r>
    </w:p>
    <w:p>
      <w:r>
        <w:t>![endif]&gt;![if&gt;</w:t>
      </w:r>
    </w:p>
    <w:p>
      <w:r>
        <w:rPr>
          <w:b/>
        </w:rPr>
        <w:t>E. 7.1</w:t>
      </w:r>
    </w:p>
    <w:p>
      <w:r>
        <w:t>En l’occurrence, il est admis par la défenderesse que le demandeur souffre de troubles rhumatologiques ayant entraîné une incapacité de travail de 100% du 5 juin au 21 août 2018 et de 80% dès le 22 août 2018. Elle lui a donc versé des indemnités journalières de CHF 113.97, du 5 juillet 2018 au 21 août 2018, puis de CHF 91.176, du 22 août 2018 au 20 octobre 2019. L’évolution de l’incapacité de travail dans l’activité habituelle qui sous-tend ces versements (respectivement leur cessation au-delà du 20 octobre 2019) est en revanche moins claire, à tout le moins à la lumière des rapports invoqués par la défenderesse. Cette dernière a certes indiqué dans son courrier du 11 octobre 2019 au demandeur que son médecin-conseil était d’avis que l’intéressé aurait pu mettre à profit une capacité de travail de 50% dès le jour de l’examen par l’expert B______, soit le 7 août 2019, et de 100% dès le 21 août 2019. Il n’en reste pas moins que l’instruction médicale s’est poursuivie au-delà du 11 octobre 2019 et qu’elle a révélé des éléments nouveaux, non soumis au Dr B______, à savoir une synovite objectivée par une IRM du 16 janvier 2020, qui n’était pas présente auparavant, mais qui, de l’avis exprimé le 19 février 2020 par le Dr D______, ne changeait rien au fait que le demandeur devait adapter son poste. En revanche, la position de ce médecin-conseil au sujet de la capacité du demandeur à exercer son activité habituelle ne ressort pas de cet avis. Sachant toutefois qu’en cas d’incapacité de travail de longue durée dans sa profession, l’activité qui peut être exigée de l’assuré peut aussi relever d’une autre profession ou d’un autre domaine d’activité (cf. ci-après : consid. 7.2) et, qu’en l’espèce, le courrier du 11 octobre 2019 précité invitait également le demandeur à exploiter sa capacité de travail dans une activité adaptée à son état de santé (« soit à un poste léger ne nécessitant pas des efforts de préhension à répétition avec les mains et évitant des positions inconfortables à genoux ou accroupies ») dès le 21 octobre 2019, il est nécessaire d’examiner dans un premier temps s’il existe des motifs suffisants pour considérer que le demandeur avait recouvré, au plus tard à cette date, une capacité de travail dans son activité habituelle et/ou dans une activité adaptée. ![endif]&gt;![if&gt;</w:t>
      </w:r>
    </w:p>
    <w:p>
      <w:r>
        <w:rPr>
          <w:b/>
        </w:rPr>
        <w:t>E. 7.2</w:t>
      </w:r>
    </w:p>
    <w:p>
      <w:r>
        <w:t>Lorsque le cas d’assurance, constitué par une incapacité de travail, est établi, l’art. 61 aLCA (qui correspond à l’art. 38 a LCA depuis le 1 er janvier 2022) dispose que l’ayant droit est obligé, lors d’un sinistre, de faire tout ce qui est possible pour restreindre le dommage (al. 1) ; si l’ayant droit contrevient à cette obligation d’une manière inexcusable, l’assureur peut réduire l’indemnité au montant auquel elle serait ramenée si l’obligation avait été remplie (al. 2).![endif]&gt;![if&gt;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En règle générale, un délai de trois à cinq mois doit être considéré comme adéquat.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être réellement exigé de lui (ATF 133 III 527 consid. 3.2.1 ; arrêt du Tribunal fédéral 4A_584/2014 du 15 janvier 2014 consid. 4.1 et les références). Conformément à l’art. 8 CC,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et les références). L’assureur doit alléguer les faits propres à démontrer cette violation du devoir de réduire le dommage (arrêt du Tribunal fédéral 4A_584/2014 précité, consid. 4.1).</w:t>
      </w:r>
    </w:p>
    <w:p>
      <w:r>
        <w:rPr>
          <w:b/>
        </w:rPr>
        <w:t>E. 7.2.1</w:t>
      </w:r>
    </w:p>
    <w:p>
      <w:r>
        <w:t>En l’espèce, il sied de relever à titre liminaire que, pour autant que le fait que la défenderesse se déclare, dans son courrier du 11 octobre 2019, convaincue que l’assuré entreprendrait « les démarches nécessaires afin de pouvoir exploiter sa capacité de travail » constitue une invitation suffisamment claire à changer de profession, ce courrier ne respecte de toute manière pas le délai de trois à cinq mois évoqué (ci-dessus : consid. 7.2), étant précisé que son point de départ ne se détermine pas en fonction de la date d’exigibilité de l’exercice d’une activité adaptée, mais du courrier de l’assureur invitant l’assuré à changer de profession (arrêt du Tribunal fédéral 4A_384/2019 du 9 décembre 2019 consid. 5.4.2). Cela étant, ces questions ne nécessitent pas d’être débattues plus avant, compte tenu des développements ci-après (consid. 7.2.2).![endif]&gt;![if&gt; En ce qui concerne la documentation médicale sur laquelle se fonde la défenderesse pour mettre un terme à ses prestations, il sied de relever ce qui suit. Dans son rapport du 8 août 2019, le Dr B______ considérait vraisemblable la présence d’un « probable rhumatisme inflammatoire non défini », tout en précisant qu’il aurait été utile de disposer d’examens échographiques ou d’IRM des avant-pieds et mains pour confirmer ou non l’existence de synovites. Tout en retenant une incapacité de travail de 80% dans l’activité habituelle, susceptible selon lui d’être améliorée par un traitement plus efficace, le Dr B______ n’en estimait pas moins que le demandeur était « en principe déjà apte » à exercer une activité adaptée à son état de santé (c'est-à-dire plus légère et ne nécessitant ni efforts de préhension, ni positions inconfortables, notamment agenouillé ou accroupi). Dans son rapport complémentaire du 27 septembre 2019, constatant l’absence de synovite objectivable à l’IRM de la main droite effectuée le 17 septembre 2019, le Dr B______ a estimé qu’il n’y avait pas d’élément pour conclure à un rhumatisme de nature inflammatoire, ce qui l’a conduit à confirmer l’exigibilité d’une activité adaptée à plein temps. Dans la mesure où l’assuré travaillait déjà à 20% dans des tâches apparemment plutôt légères au moment de l’expertise, son taux d’activité devait pouvoir être augmenté à 50%, puis à 100% après quinze jours. Même s’il avait suggéré, dans son premier rapport, une optimalisation du traitement de fond, le Dr B______ ne le pensait désormais plus nécessaire, vu l’absence de synovite. Dans un deuxième (et dernier) complément, daté du 18 novembre 2019 et faisant suite au rapport du 22 octobre 2019 de la Dresse E______ consécutif à l’IRM du 17 septembre 2019, le Dr B______ a répété que, vu l’absence de synovite, il n’existait pas d’élément clair en faveur d’un « rhumatisme inflammatoire non maîtrisé », si bien qu’une reprise de la profession habituelle était exigible. On relève toutefois que, malgré cette assertion, l’expert B______ a néanmoins précisé être prêt à réexaminer l’assuré, à condition qu’un nouveau bilan rhumatologique fût effectué par le médecin traitant, accompagné de nouveaux examens d’imagerie, par exemple une échographie des mains. La Cour de céans relève que la thèse de l’absence de synovite – dont le Dr B______ infère l’absence d’un rhumatisme inflammatoire non maîtrisé et une augmentation graduelle de la capacité de travail au-delà de 20%, respectivement l’exigibilité de « principe » de l’exercice à plein temps d’une activité adaptée, est battue en brèche par l’échographie des mains du 16 janvier 2020, qui a mis en évidence, aux dires de la Dresse E______ et du Dr D______, une synovite avec signes Doppler des pouces. La défenderesse fait valoir que la Dresse E______ ne serait pas allée jusqu’au bout des possibilités thérapeutiques. La Cour de céans observe toutefois que, selon cette praticienne, spécialiste en rhumatologie, tout comme le Dr B______, la polyarthrite active ne répondait que partiellement, malgré un traitement conduit de manière optimale (cf. rapports des 22 octobre 2019 et 21 janvier 2020). Les avis émis par le Dr B______ au sujet du traitement prescrit – et au demeurant peu étayés – ne sauraient pallier son absence de connaissance du dossier au-delà du stade de l’IRM du 17 septembre 2019. Au vu de ce qui précède, la Cour de céans considère que les rapports successifs du Dr B______ ne peuvent se voir reconnaître la valeur probante suffisante pour admettre une amélioration de la capacité de travail de l’assuré au-delà du taux de 20% que cet expert retenait lui-même le 8 août 2019 s’agissant du domaine d’activité habituel du demandeur, à l’instar des médecins de ce dernier, pour la période du 5 septembre 2018 au 22 novembre 2020 (cf. pièce 84 déf.). Quant à la pleine exigibilité d’une activité adaptée, elle paraît non moins douteuse, y compris d’un point de vue médico-théorique, dans la mesure où le Dr B______ a clairement laissé entendre, dans son rapport du 18 novembre 2019, qu’il y avait matière à effectuer une deuxième expertise en cas de nouveaux examens d’imagerie, étant rappelé qu’une telle mesure d’instruction complémentaire n’a jamais été mise en œuvre, malgré la synovite objectivée à l’échographie du 16 janvier 2020.</w:t>
      </w:r>
    </w:p>
    <w:p>
      <w:r>
        <w:rPr>
          <w:b/>
        </w:rPr>
        <w:t>E. 7.2.2</w:t>
      </w:r>
    </w:p>
    <w:p>
      <w:r>
        <w:t>Il reste à examiner si, malgré les doutes entourant le taux de capacité du demandeur à exercer une activité adaptée (au taux de 100% selon le Dr B______ et le SMR, de 50% selon la Dresse E______), l’exercice d’une telle activité serait réalisable en pratique, en tout ou partie (cf. ci-dessus : consid. 7.2). ![endif]&gt;![if&gt; Il ressort du rapport d’évaluation du 31 mai 2021 de l’entreprise PRO qu’une mesure de trois mois était initialement prévue, à un taux de 50% les deux premières semaines, qui aurait dû être augmenté à 100% la troisième semaine, en fonction des limitations fonctionnelles retenues par le Dr B______ (poste léger sans efforts de préhension à répétition et évitant les positions inconfortables agenouillé ou accroupi). Or, dès les premiers jours, l’horaire prévu s’est avéré problématique, au point que le demandeur s’est vu contraint de quitter l’atelier prématurément en raison de ses douleurs. Un taux inférieur à 50% a été observé durant la mesure et H______ a émis l’avis qu’un taux de 20% semblait plus adapté. Le demandeur précise avoir dû recourir à des antalgiques afin de respecter le taux de 50%, et avoir malgré cela dû s’allonger dès son retour chez lui, mais avoir pu en revanche se contenter de son traitement habituel lorsque son taux a été diminué à 20%. Tout en relevant la persévérance, la force de caractère et les efforts du demandeur, H______ a constaté l’existence d’obstacles au maintien postural, rendant toute activité douloureuse au bout de quelques heures ; l’assuré était constamment en mouvement (étirements du dos, de la nuque et des membres supérieurs, nécessité de faire quelques pas de temps en temps), ce qui l’empêchait d’avoir une cadence de production régulière. En outre, des difficultés considérables au niveau cognitif entravaient son autonomie et freinaient sa réinsertion sur le marché de l’emploi. Informée de la situation, la division réadaptation professionnelle de l’OAI a constaté que, même si la mesure d’orientation professionnelle mise en place respectait les recommandations du SMR (entre autres : épargne des mains et des pieds), d’importantes douleurs avaient été remarquées, même au taux d’activité restreint, si bien que la capacité de travail « médico-théorique » retenue par le SMR (100% dans une activité adaptée aux limitations fonctionnelles précitées) ne correspondait en réalité pas à une véritable capacité de gain. En effet, en l’absence de formation certifiée, les connaissances de l’assuré étaient difficilement transférables dans une activité adaptée. À son âge, d’autres mesures n’étaient pas proportionnées et ses chances d’être engagé sur le marché équilibré du travail étaient faibles. En confrontant les avis émis par les médecins à ceux exprimés par les spécialistes de l’orientation professionnelle, on constate tout d’abord que le rapport de H______ et, à sa suite, celui de la division réadaptation professionnelle de l’OAI, concordent entièrement avec les avis du Dr B______, respectivement du SMR, s’agissant de la nature et de l’étendue des limitations fonctionnelles du demandeur. H______ et l’OAI ont toutefois nié toute possibilité pour le demandeur de mettre concrètement en œuvre la capacité de travail médico-théorique retenue par le Dr B______, respectivement par le SMR, en raison, principalement, des restrictions physiques. La Cour de céans constate que le rapport émanant de la division réadaptation professionnelle de l’OAI tient compte de manière cohérente des observations de H______ – lesquelles complètent utilement les données médicales fournies par le Dr B______ et le SMR – et explique en outre au moyen des autres critères d’analyse requis par la jurisprudence (ci-dessus : consid. 7.2) qu’un changement d’activité médico-théorique, ne peut être réellement exigé du demandeur. Se fondant sur un arrêt du Tribunal fédéral 8C_772/2020 du 9 juillet 2021 rendu en matière d’assurance-accidents, la défenderesse objecte qu’il appartient avant tout aux médecins, et non aux spécialistes de l’orientation professionnelle, de se prononcer sur la capacité de travail d’un assuré souffrant d’une atteinte à la santé et sur les limitations résultant de celle-ci. Cet arrêt précise cependant qu’on ne saurait 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(cf. arrêt du Tribunal fédéral 8C_772/2020 précité, consid. 5.1), ce qui peut tout à fait conduire l’administration et/ou le juge à retenir, sur la base des conclusions des responsables de l’observation professionnelle, qu’un assuré n’est plus à même de mettre en valeur de manière significative la capacité de travail résiduelle retenue sur le plan médico-théorique (pour un cas d’application en matière d’AI : cf. arrêt du Tribunal fédéral 9C_1035/2009 du 22 juin 2010). En définitive, comme on peut le constater à la lumière de ce qui précède, les règles en matière d’appréciation des preuves dont la défenderesse se prévaut ne diffèrent pas, dans le présent contexte, de celles découlant de la jurisprudence plus spécifique ici appliquée, relative à l’art. 61 LCA. Le moyen tiré d’une priorité absolue de l’appréciation médicale doit donc être rejeté. Étant donné que la défenderesse n’allègue pas, pour le surplus, de faits propres à démontrer que le demandeur aurait violé son obligation de réduire le dommage, la Cour de céans constate que le rapport de la division réadaptation professionnelle de l’OAI établit à satisfaction de droit le caractère inexploitable de la capacité de travail médico-théorique du demandeur et, partant, son incapacité de travail totale dans toute activité.</w:t>
      </w:r>
    </w:p>
    <w:p>
      <w:r>
        <w:rPr>
          <w:b/>
        </w:rPr>
        <w:t>E. 8</w:t>
      </w:r>
    </w:p>
    <w:p>
      <w:r>
        <w:t>Une incapacité de travail totale dans toute activité étant ainsi établie, il reste à examiner les conséquences qui en découlent pour le droit aux prestations, ce qui soulève la question de la coordination de la rente d’invalidité avec les indemnités journalières déjà versées (période du 1 er juin au 20 octobre 2019) et celles qui restent dues au-delà du 20 octobre 2019. ![endif]&gt;![if&gt; Se fondant sur l’art. 28 al. 9 CGA (sans toutefois le citer), la défenderesse soutient que les indemnités journalières versées du 1 er juin au 20 octobre 2019 constituaient une avance qu’elle était en droit de se faire rembourser par l’OAI. Pour sa part, le demandeur estime avoir conclu une assurance de sommes autorisant le cumul des indemnités journalières, notamment avec les rentes de l’AI, sans restriction d’aucune sorte. L’OAI ayant déduit le montant des indemnités journalières remboursées à la défenderesse des arriérés de rentes alloués au demandeur, celui-ci demande non seulement que les indemnités journalières du 1 er juin au 20 octobre 2019 lui soient reversées, mais aussi que l’octroi de celles-ci se prolonge du 21 octobre 2019 jusqu’à épuisement de la durée du droit aux prestations. Il convient de rappeler les différences entre une assurance dommage – qui correspond au point de vue de la défenderesse – et une assurance de sommes (ci-après : consid. 8.2), avant d’examiner les dispositions contractuelles litigieuses relatives à l’imputation des prestations allouées par un assureur social (consid. 8.2.2) et, cela fait, de déterminer dans quelle mesure des prestations sont encore dues (consid. 8.3).</w:t>
      </w:r>
    </w:p>
    <w:p>
      <w:r>
        <w:rPr>
          <w:b/>
        </w:rPr>
        <w:t>E. 8.1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Étant donné que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 se détermine donc sur la base des dispositions contractuelles liant l’assuré et l’assureur, en particulier des conditions générales ou spéciales d’assurance (arrêt du Tribunal fédéral 5C.263/2000 du 6 mars 2001 consid. 4a).![endif]&gt;![if&gt; Il n’est d’ordinaire pas possible de mettre en évidence une intention réelle et commune des deux parties sur des points que l’une d’elles a réglés seule et par avance dans les conditions générales ; le juge doit donc rechercher comment le texte pouvait être compris de bonne foi, selon le principe de la confiance (cf. ATF 135 III 410 consid. 3.2 ; 133 III 675 consid. 3.3),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(arrêt du Tribunal fédéral 4A_107/2020 du 23 juin 2020 consid. 7.1 ; ATF 122 III 118 consid. 2a ; 118 II 342 consid. 1a ; voir aussi ATF 133 III 61 consid. 2.2.2.3).</w:t>
      </w:r>
    </w:p>
    <w:p>
      <w:r>
        <w:rPr>
          <w:b/>
        </w:rPr>
        <w:t>E. 8.2</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(ATF 119 II 361 consid. 4). Lorsque le contrat d’assurance prévoit le versement à l’assuré d’une indemnité journalière forfaitaire en fonction du seul degré de l’incapacité de travail de l’assuré, il s’agit d’une assurance de sommes (ATF 133 III 527 consid. 3.2.4) ;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5.2.3).![endif]&gt;![if&gt; Dans le cas d’une telle assurance de personnes conçue comme une assurance de sommes, l’assuré peut cumuler les prétentions en versement des indemnités journalières prévues par le contrat d’assurance avec d’autres prétentions en raison du même événement dommageable ; la prestation de l’assureur de sommes est due indépendamment du point de savoir si l’ayant droit reçoit des prestations de la part d’autres assureurs ou d’un tiers responsable ; la surindemnisation de l’ayant droit est possible et, conformément à l’art. 96 aLCA, les droits que l’ayant droit aurait contre des tiers en raison du sinistre ne passent pas à l’assureur (ATF 133 III 527 consid. 3.2.5 et les références). Aux termes de l’art. 96 aLCA, dans l’assurance de personnes, les droits que l’ayant droit aurait contre des tiers en raison du sinistre ne passent pas à l’assureur. L’art. 98 LCA précise que cette disposition ne peut être modifiée par convention au détriment du preneur d’assurance ou de l’ayant droit. Se pose donc la question de savoir si le caractère relativement impératif de l’art. 96 aLCA vise exclusivement la situation de l’assureur de somme en cours avec le responsable civil ou s’il doit être considéré comme l’expression d’une règle générale qui étendrait la largeur du principe jusqu’à toute imputation de prestations tierces et ce, quel qu’en soit le fondement. Dans l’ATF 133 III 527 , le Tribunal fédéral s’est prononcé en faveur de la première hypothèse en précisant que les prestations versées par un assureur social ne peuvent pas être imputées sur les allocations journalières dues par l’assureur privé, « à moins, évidemment, que les conditions générales d’assurance ne prévoient exceptionnellement une telle imputation » (consid. 3.2.5). Aussi, il faut bien admettre que le législateur ne dit rien de la coordination au travers de l’art. 96 aLCA, sinon qu’il en autorise le règlement conventionnel lorsqu’il n’est pas question de prestations tierces issues d’un fondement tiré de la responsabilité civile (Vincent BRULHART, Droit des assurances privées, 2 ème éd. 2017, p. 535).</w:t>
      </w:r>
    </w:p>
    <w:p>
      <w:r>
        <w:rPr>
          <w:b/>
        </w:rPr>
        <w:t>E. 8.2.1</w:t>
      </w:r>
    </w:p>
    <w:p>
      <w:r>
        <w:t>En l’occurrence, la police d’assurance perte de gain conclue en 2012 par le demandeur auprès de la défenderesse est une « couverture en coordination LPP » qui couvre les conséquences économiques d’une incapacité de travail du demandeur, à hauteur de 80% du salaire convenu (CHF 52’000.-) durant 730 jours sous imputation du délai d’attente de 30 jours. Il est précisé que « ce salaire est la base de calcul de la prime (décompte définitif) et le paiement des indemnités journalières [sic]. Toutefois, l’art. 28 al. 4 des [CGA] reste réservé ».![endif]&gt;![if&gt; Selon les CGA auxquelles la police d’assurance renvoie, on entend par maladie toute atteinte involontaire à la santé physique ou mentale, médicalement et objectivement décelable, qui n’est pas due à un accident ou à ses suites et qui exige un examen, un traitement médical ou engendre une incapacité de travail (art. 3 al. 1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raisonnablement exigée de lui peut aussi relever d’une autre profession ou d’un autre domaine d’activité (art. 3 al. 5 CGA). Selon l’art. 5 CGA, le cercle des personnes assurées est mentionné dans la police (al. 1). Sur requête, l’employeur ou les personnes gérantes de l’entreprise peuvent être assurées pour un montant de salaire fixe dans la mesure où la police d’assurance les mentionne nommément. Ce salaire conventionné est alors couvert sous la forme d’une assurance de sommes (al. 2). Sous la note marginale « couverture en coordination LPP », l’art. 6 let. a ch. 1 CGA dispose que les prestations sont allouées par cas jusqu’au moment où s’ouvre le droit à une rente LPP, respectivement jusqu’à épuisement du droit aux prestations prévues dans le contrat. Sauf indication contractuelle, la durée du droit aux prestations par cas est au maximum de 730 jours. La première limite atteinte est déterminante. Aux termes de l’art. 12 al. 1 CGA, l’indemnité journalière est allouée en cas d’incapacité de travail à partir de 25%. Selon l’art. 12 al. 19 CGA, dans les cas où l’on peut raisonnablement exiger de l’assuré qu’il exploite sa capacité de travail « dans une profession activité adaptée » (sic), l’assureur accepte de poursuivre l’indemnisation pendant une période transitoire comprise entre 3 et 5 mois, et ceci, pour autant que l’assuré entreprenne les démarches adéquates telles que recherches d’emploi, inscription à l’assurance-chômage, dépôt d’une demande AI, etc. Aux termes de l’art. 28 al. 4 CGA, l’assureur intervient subsidiairement pour la part de perte de gain ou de salaire non-couvert par un assureur social dans les limites des prestations prévues dans la police. Selon l’art. 28 al. 9 CGA, l’assureur avance les prestations perte de gain aussi longtemps que l’AI (LAI), une assurance accident (LAA), l’assurance militaire (LAM), une prévoyance professionnelle (LPP) voire un assureur étranger n’établissent pas un droit à une rente. L’art. 29 al. 4 CGA précise que pour les personnes assurées avec un montant de salaire fixe, l’étendue des prestations correspond au montant de l’indemnité journalière convenue. La surassurance n’est pas applicable dans ce cas de figure. Par contre, si les indemnités journalières dues sont en concours avec des prestations d’assurances sociales, telles qu’AI, assurance-accidents ou assurance militaire, lesdites indemnités seront réduites du montant versé par ces assurances sociales.</w:t>
      </w:r>
    </w:p>
    <w:p>
      <w:r>
        <w:rPr>
          <w:b/>
        </w:rPr>
        <w:t>E. 8.2.2</w:t>
      </w:r>
    </w:p>
    <w:p>
      <w:r>
        <w:t>En l’espèce, il y a lieu de constater, à la lumière des art. 5 et 12 al. 1 CGA, que le droit à une indemnité journalière ne suppose pas que le demandeur subisse une perte effective sur le plan économique puisqu’un montant journalier forfaitaire est prévu en fonction du seul degré de l’incapacité de travail du demandeur, celle-ci étant définie comme la perte, totale ou partielle, de l’aptitude de l’assuré à accomplir le travail qui peut raisonnablement être exigé de lui dans sa profession actuelle et, en cas d’incapacité de travail de longue durée, dans une autre profession (art. 3 al. 5 CGA). Il s’agit dès lors d’une assurance de sommes, ce que l’art. 5 al. 2 CGA précise au demeurant. En revanche, en tant que la police d’assurance renvoie à l’art. 28 al. 4 CGA, prévoyant par ce biais l’imputation des prestations versées par l’assureur social sur les prestations dues par l’assureur, elle introduit un élément en soi étranger à une assurance de sommes et relevant de l’assurance contre les dommages. On note cependant que selon la lettre de l’art. 28 al. 4 CGA, cette imputation a lieu « dans les limites des prestations prévues dans la police », ce qui revient à obliger l’assureur uniquement « pour la part de perte de gain ou de salaire non couvert[e] par un assureur social ». Au regard de l’ATF 133 III 527 précité, une telle clause d’imputation est toutefois admissible. En revanche, en tant que la défenderesse considère que les indemnités journalières versées du 1 er juin au 20 octobre 2019 ne constituent qu’une avance sur la rente d’invalidité, dont le remboursement peut être réclamé à l’OAI, elle soutient une position qui consacre non plus une imputation des prestations d’assurances sociales, mais la substitution de celles-ci aux indemnités journalières dès la date à laquelle rétroagit le droit à la rente, soit au 1 er juin 2019. Or, il va sans dire que même si elle semble a priori possible sur la base de l’art. 28 al. 9 CGA – que la défenderesse ne cite pas dans son argumentaire, une extinction du droit aux indemnités journalières déroge de façon autrement plus importante au droit au cumul des prestations que la clause d’imputation de l’art. 28 al. 4 CGA expressément réservée par les parties. Par ailleurs, l’art. 29 al. 4 CGA, qui est spécifiquement applicable aux « personnes assurées avec un montant de salaire fixe », fait écho à l’art. 28 al. 4 CGA en prévoyant la réduction du montant des indemnités journalières du montant versé par un assureur social comme seule exception à l’inapplicabilité de la surassurance. ![endif]&gt;![if&gt; On constate ainsi que l’analyse conjointe des art. 28 al. 4 et 28 al. 9 CGA ne permet pas de déterminer la volonté présumée des parties au moment de la conclusion du contrat. Il convient dès lors de se référer au principe in dubio contra stipulatorem , et de considérer que le cumul des prestations de la défenderesse avec celles des assurances sociales ne peut être atténué qu’au moyen d’une disposition contractuelle claire (ATF 133 III 527 consid. 3.2.5). En l’espèce, il s’agit de l’art. 28 al. 4 CGA, que les parties ont expressément réservé dans la police d’assurance. En tant que cette disposition permet le cumul des prestations jusqu’à concurrence du montant de l’indemnité journalière convenue, elle prend donc le pas sur la disposition plus restrictive de l’art. 28 al. 9 CGA.</w:t>
      </w:r>
    </w:p>
    <w:p>
      <w:r>
        <w:rPr>
          <w:b/>
        </w:rPr>
        <w:t>E. 8.3</w:t>
      </w:r>
    </w:p>
    <w:p>
      <w:r>
        <w:t>Dans la mesure où, on l’a vu, le demandeur présente une incapacité de travail totale dans toute activité, cet état inclut également son activité habituelle de monteur sanitaire. Sachant toutefois que la mesure d’observation et d’orientation professionnelle auprès de H______ a eu lieu en 2021 et qu’il ressort du récapitulatif des certificats médicaux délivrés par les médecins du demandeur (pièce 84 déf.) que l’incapacité de travail de celui-ci a été complète du 5 juin au 4 septembre 2018, puis de 80% du 5 septembre au 22 novembre 2020, avant de redevenir complète dès le 23 novembre 2020, on peut se demander si l’incapacité de travail totale du demandeur dans son activité habituelle couvre également la période d’incapacité de travail de 80% précitée, durant laquelle il travaillait à 20% en acceptant des mandats pour des travaux relativement légers (cf. pièce 21, p. 2 déf.). La question souffre de rester indécise compte tenu des développements qui suivent.![endif]&gt;![if&gt; La limite des prestations prévues dans la police constituant également le plafond au-delà duquel il y aurait surindemnisation (cf. art. 28 al. 4 et 29 al. 4 CGA), le demandeur ne saurait prétendre à plus de CHF 113.97 par jour [(CHF 52’000.- x 80 / 100) / 365]. S’agissant de la rente d’invalidité, elle s’élevait à CHF 1’839.- par mois (CHF 22’068.- par an) du 1 er juin 2019 au 31 décembre 2020 (cf. pièce 11 dem.), ce qui représente CHF 60.46 par jour (22’068 / 365). Le demandeur a également perçu des indemnités journalières de l’AI du 19 avril au 9 mai 2021. Mais comme celles-ci ont fait l’objet d’une retenue en faveur de la CCGC au moment du paiement rétroactif des rentes (cf. pièce 11 dem.), il n’y a pas lieu d’en tenir compte dans le calcul de surindemnisation. Il s’ensuit que le complément d’indemnités journalières auquel le demandeur a droit s’élève à CHF 53.51 (soit CHF 113.97 sous déduction de CHF 60.46), si bien qu’on se situe de toute manière en dessous du montant de l’indemnité journalière correspondant à une incapacité de travail de 80% (soit CHF 91.176). La durée des prestations étant de 730 jours à partir du 5 juin 2018, sous déduction du délai d’attente de 30 jours, le droit aux indemnités journalières s’éteint 730 jours après le début de l’incapacité de travail (5 juin 2018), soit, en principe, le 4 juin 2020. Cependant, dès lors que 2020 était une année bissextile (366 jours), les 730 jours étaient déjà échus le 3 juin 2020. Étant donné que la défenderesse a bénéficié du remboursement, par l’OAI, des indemnités journalières qu’elle avait allouées au demandeur du 1 er juin au 20 octobre 2019 et que, de son côté, l’OAI les a entièrement déduites des rentes versées au demandeur, ce dernier a droit à des indemnités du 1 er juin 2019 au 3 juin 2020, à hauteur de CHF 53.51 par jour sur 369 jours, ce qui correspond à CHF 19’745.20 (53.51 x 369 = CHF 19’745.19, arrondi à CHF 19’745.20).</w:t>
      </w:r>
    </w:p>
    <w:p>
      <w:r>
        <w:rPr>
          <w:b/>
        </w:rPr>
        <w:t>E. 9</w:t>
      </w:r>
    </w:p>
    <w:p>
      <w:r>
        <w:t>Le demandeur réclame également des intérêts moratoires sur les prestations qui lui sont dues.![endif]&gt;![if&gt;</w:t>
      </w:r>
    </w:p>
    <w:p>
      <w:r>
        <w:rPr>
          <w:b/>
        </w:rPr>
        <w:t>E. 9.1</w:t>
      </w:r>
    </w:p>
    <w:p>
      <w:r>
        <w:t>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L’intérêt moratoire est fixé à 5% conformément aux art. 102 et 104 CO applicables par renvoi de l’art. 100 LCA.![endif]&gt;![if&gt;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Il peut cependant être fait abstraction d’un chiffrage lorsque le montant exact de la créance n’est pas encore déterminé au moment de son exigibilité. Cette dernière opinion repose sur l’idée que toute obligation exigible doit pouvoir faire l’objet d’une mise en demeure afin de permettre au créancier de bénéficier des effets qui sont rattachés à la demeure (ATF 129 III 535 consid. 3.2.2).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rPr>
          <w:b/>
        </w:rPr>
        <w:t>E. 9.2</w:t>
      </w:r>
    </w:p>
    <w:p>
      <w:r>
        <w:t>En l’espèce, le pli du 17 octobre 2019 du demandeur n’est pas suffisamment précis pour valoir interpellation au sens de l’art. 102 al. 1 CO. En effet, aucun montant n’y est réclamé, le demandeur faisant uniquement part de son désaccord avec l’arrêt des prestations. La même remarque vaut pour un courrier similaire du demandeur du 24 septembre 2020 (pièce 7 dem.). En revanche, il y a lieu de constater que, dans un courrier du 1 er décembre 2020, le demandeur ne chiffrait certes pas le montant de sa créance, mais articulait ses prétentions de manière suffisamment précise pour que la défenderesse puisse comprendre quel montant il lui réclamait, à savoir le solde des indemnités journalières correspondant à une incapacité de travail entière du 21 octobre 2019 jusqu’à épuisement du droit aux prestations (cf. pièce 14 dem.). En partant du principe que le courrier du 1 er décembre 2021 a été reçu le lendemain, l’intérêt moratoire de 5% est dû sur la somme de CHF 19’007.20 dès le 3 décembre 2021.![endif]&gt;![if&gt;</w:t>
      </w:r>
    </w:p>
    <w:p>
      <w:r>
        <w:rPr>
          <w:b/>
        </w:rPr>
        <w:t>E. 10</w:t>
      </w:r>
    </w:p>
    <w:p>
      <w:r>
        <w:t>Le demandeur réclame enfin le remboursement de ses frais d’avocat avant procès.![endif]&gt;![if&gt;</w:t>
      </w:r>
    </w:p>
    <w:p>
      <w:r>
        <w:rPr>
          <w:b/>
        </w:rPr>
        <w:t>E. 10.1</w:t>
      </w:r>
    </w:p>
    <w:p>
      <w:r>
        <w:t>Selon l’art. 95 al. 3 let. a et b CPC, les dépens comprennent notamment les débours nécessaires et le défraiement d’un représentant professionnel.![endif]&gt;![if&gt; Les dépens couvrent même des opérations antérieures au procès dans la mesure où elles étaient destinées à le préparer. Dans ce cas, ils ne peuvent être réclamés que dans le cadre des frais de procédure, aux conditions résultant des art. 95ss CPC. Selon les circonstances, les autres frais juridiques antérieurs au procès peuvent constituer un élément du dommage à réparer selon le droit matériel, y compris des dépenses d’avocat liées par exemple à un désaccord sur un contrat ou aux démarches en vue de la réparation d’un préjudice. Dans ce cas ils peuvent être invoqués comme une prétention en paiement à faire valoir au fond, dans le cadre notamment d’une action contractuelle ou délictuelle. Si des honoraires d’avocat ou d’autres frais juridiques peuvent ainsi être déduits en justice au même titre que d’autres éléments du dommage dont un plaideur demande la réparation, ils ne relèvent en réalité pas de la procédure, mais bien du droit matériel exclusivement. Toutefois, la limite à tracer entre frais juridiques comme élément du dommage et prestations couvertes par les dépens peut être délicate. Les honoraires liés à l’étude des faits et du droit ainsi qu’à la rédaction des actes et à la recherche d’un éventuel accord hors procès appartiennent à ces dernières (cf. Denis TAPPY, Commentaire romand, op. cit., n. 37 à 38 ad art. 95 CPC ; RSPC 4/2006 358). Sous la note marginale « dommage supplémentaire », l’art. 106 CO prévoit que lorsque le dommage éprouvé par le créancier est supérieur à l’intérêt moratoire, le débiteur est tenu de réparer également ce dommage, s’il ne prouve qu’aucune faute ne lui est imputable (al. 1). Si ce dommage supplémentaire peut être évalué à l’avance, le juge a la faculté d’en déterminer le montant en se prononçant sur le fond (al. 2). Le dommage supplémentaire au sens de l’art. 106 CO inclut les frais engagés en vue de l’exécution d’une obligation dans la mesure où leur sort n’est pas déjà réglé par le droit de procédure. Leur remboursement en vertu de l’art. 106 CO nécessite que le débiteur soit en demeure par sa faute, celle-ci étant présumée (arrêt du Tribunal fédéral 4A_386/2008 du 2 mars 2009 consid. 1.2.2 ; arrêt du Tribunal fédéral 4C.11/2003 du mai 2003 consid. 5.1). Par ailleurs, s’ils ne sont pas déjà inclus dans les frais de procédure, des frais d’avocat engagés avant le procès civil doivent être justifiés, nécessaires et adéquats (arrêt du Tribunal fédéral 4A_264/2015 du 10 août 2015 consid. 3 et les références citées). Le Tribunal fédéral a ainsi considéré qu’une liste de frais comportant des postes non spécifiques (tels l’étude du dossier, des recherches juridiques ou des contacts avec chaque partie) ne constitue pas une allégation suffisamment précise qui permettrait de retenir la nécessité ainsi que la nature spécifique des frais d’avocat encourus avant le procès (arrêt du Tribunal fédéral 4A_692/2015 du 1 er mars 2017 consid. 6.2.2).</w:t>
      </w:r>
    </w:p>
    <w:p>
      <w:r>
        <w:rPr>
          <w:b/>
        </w:rPr>
        <w:t>E. 10.2</w:t>
      </w:r>
    </w:p>
    <w:p>
      <w:r>
        <w:t>En l’espèce, le demandeur a certes versé au dossier une « note d’honoraires pro forma », d’un montant de CHF 8’438.- TTC, relatant le temps consacré au dossier par son mandataire du 24 septembre 2020 au 22 décembre 2021 (17h30 ; pièce 18 dem.). On constate cependant à l’examen du justificatif produit que l’activité déployée par le conseil depuis l’interpellation de la défenderesse se résume à 1h20 et qu’une fraction de cette durée est consacrée à la rédaction de trois courriers. En outre, le demandeur n’expose pas en quoi les activités faisant l’objet de cette note d’honoraires se distinguent de celles nécessaires à la préparation de la présente procédure, couvertes par l’allocation de dépens.![endif]&gt;![if&gt; Les conclusions du demandeur doivent donc être rejetées en tant qu’elles ont pour objet la prise en charge des frais d’avocat avant procès.</w:t>
      </w:r>
    </w:p>
    <w:p>
      <w:r>
        <w:rPr>
          <w:b/>
        </w:rPr>
        <w:t>E. 11</w:t>
      </w:r>
    </w:p>
    <w:p>
      <w:r>
        <w:t>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 LaCC - E 1 05).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À Genève, le règlement fixant le tarif des frais en matière civile du 22 décembre 2010 (RTFMC - E 1 05.10) détermine notamment le tarif des dépens, applicable aux affaires civiles contentieuses (art. 1 RTFMC).![endif]&gt;![if&gt; Conformément à l’art. 85 RTFMC, le défraiement, dans le cas d’une partie qui obtient totalement gain de cause, pour une valeur litigieuse de CHF 59'958.29 (soit CHF 51’520.29 + CHF 8’438.-), s’élève à CHF 7’896.24 (soit CHF 6’100.- + CHF 1’796.24, ce dernier montant correspondant à 9% de la valeur litigieuse dépassant CHF 40’000.-, soit 9% de CHF 19’958.29), qu’il y a lieu, en l’espèce, de porter à CHF 8’685.-, de manière à tenir compte des difficultés du cas et du temps consacré à son traitement. Étant donné que le demandeur n’obtient qu’un tiers de ses conclusions, la défenderesse, non représentée par un mandataire externe, sera condamnée à lui verser une indemnité de CHF 2’895.- à titre de dépens. S’y ajoutent la TVA pour un montant de CHF 222.91 (7.7%), et les débours à hauteur de CHF 86.85 (3%), portant ainsi le montant total dû à CHF 3’204.76, qu’il convient d’arrondir à CHF 3’205.- (art. 25 et 26 al. 1 LaCC ; art. 84 et 85 RTFMC). Pour le surplus, la procédure est gratuite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