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A/3278/2021 vom 28. September 2022</w:t>
      </w:r>
    </w:p>
    <w:p>
      <w:r>
        <w:t>GE Cour de justice, 2022-09-28, FR</w:t>
      </w:r>
    </w:p>
    <w:p>
      <w:r>
        <w:rPr>
          <w:b/>
        </w:rPr>
        <w:t xml:space="preserve">Quelle: </w:t>
      </w:r>
      <w:r>
        <w:t>https://mcp.opencaselaw.ch/entscheid/ge_gerichte_A_3278_2021</w:t>
      </w:r>
    </w:p>
    <w:p>
      <w:r>
        <w:t>FR: GE_GERICHTE A/3278/2021 du 28 septembre 2022</w:t>
      </w:r>
    </w:p>
    <w:p>
      <w:r>
        <w:t>IT: GE_GERICHTE A/3278/2021 del 28 settembre 2022</w:t>
      </w:r>
    </w:p>
    <w:p>
      <w:pPr>
        <w:pStyle w:val="Heading2"/>
      </w:pPr>
      <w:r>
        <w:t>Erwägungen</w:t>
      </w:r>
    </w:p>
    <w:p>
      <w:r>
        <w:rPr>
          <w:b/>
        </w:rPr>
        <w:t>E. 8</w:t>
      </w:r>
    </w:p>
    <w:p>
      <w:r>
        <w:t>![endif]&gt;![if&gt;</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w:t>
      </w:r>
    </w:p>
    <w:p>
      <w:r>
        <w:t>En l’espèce, il n’est pas contesté que le recourant ne peut plus exercer l’activité de carreleur. En revanche, dans une activité adaptée respectant les limitations fonctionnelles telles que décrites par les médecins de la CRR ainsi que les Drs E______ et G______, la capacité de travail est totale. ![endif]&gt;![if&gt; Le médecin traitant de l’assuré estime quant à elle que la capacité de travail est nulle dans toutes activités, compte tenu de l’ensemble de ses atteintes à la santé. Le recourant soutient également que son invalidité est totale dans toute activité. Or, la capacité de travail du recourant doit être évaluée pour les seules conséquences de l’accident de 2018. A cet égard, selon le rapport d’examen du Dr G______, la capacité de travail du recourant dans une activité respectant les limitations fonctionnelles est médicalement exigible à 100 %, sans diminution de rendement. Le Dr D______ de la CRR indiquait également en 2018 que le pronostic de réinsertion dans une activité adaptée respectant les limitations fonctionnelles était en théorie favorable. Le fait que l’assurance-invalidité ait reconnu le recourant invalide à 100 % et lui a accordé une rente entière d’invalidité n’est pas pertinent ; en effet, l’évaluation de l’invalidité par l’OAI ne lie pas l’assurance-accident qui effectue son évaluation au regard des seules conséquences de l’accident, alors que l’assurance-invalidité tient compte de toutes les atteintes à la santé présentées par le recourant (hernie discale, diabète, surdité, HTA notamment). La chambre des assurances sociales (ci-après ; la chambre de céans) n’a pas de motif pour remettre en cause les appréciations du médecin de la SUVA et de la CRR quant à l’activité exigible dans une activité adaptée.</w:t>
      </w:r>
    </w:p>
    <w:p>
      <w:r>
        <w:rPr>
          <w:b/>
        </w:rPr>
        <w:t>E. 9.1</w:t>
      </w:r>
    </w:p>
    <w:p>
      <w:r>
        <w:t>Procédant au calcul du degré d’invalidité, l’intimée a retenu un revenu annuel sans invalidité de CHF 75'177.-, en se fondant sur les chiffres communiqués par l’employeur, à savoir un salaire horaire en 2021 de CHF 32.55, en tenant compte de 41 heures de travail hebdomadaires sur 52 semaines, plus le 13 ème salaire (8.33 %). ![endif]&gt;![if&gt; Le recourant conteste ce montant, alléguant qu’il convient d’ajouter l’indemnité forfaitaire de déplacement de CHF 17.50 par jour en 2017, portée à CHF 18.- dès 2018, selon l’art. 23 chiffre 2 let. a de la Convention collective de travail du Second Œuvre romand (CCT-SOR), versée par l’employeur en sus du salaire de base. Pour l’intimée, ces frais n’étaient manifestement pas dus pour chaque jour de travail et pas uniquement pour les repas pris à l’extérieur, mais également pour le transport professionnel ainsi que pour l’outillage. Il paraît ainsi illusoire de tenir compte de cette indemnité forfaitaire dans le calcul du gain hypothétique de valide. La chambre de céans constate que l’indemnité forfaitaire transport/subsistance/carrelage telle qu’elle ressort des fiches de salaires produites a été versée durant toute l’année 2017 et que l’employeur a annoncé un salaire horaire de CHF 32.55 pour 2021, plus CHF 18.- d’indemnité par jour. Mais il ressort aussi des fiches de salaire que cette indemnité n’a pas été soumise à cotisations sociales. Dans un arrêt du 18 décembre 2018 ( 8C_310/2018 ), le Tribunal fédéral a jugé qu’il ressort de l'art. 23 al. 1 let. a CCT-SOR que les indemnités prévues servent à couvrir les frais supplémentaires subis par le travailleur en raison des déplacements de l'atelier aux chantiers et des repas pris en dehors du domicile. Elles ne constituent donc pas des indemnités allouées régulièrement au salarié pour ses déplacements de son domicile au lieu de son travail habituel, ni des indemnités pour les repas courants pris au domicile ou au lieu de travail habituel. C'est pourquoi elles représentent incontestablement des indemnités pour frais encourus non comprises dans le salaire déterminant (art. 9 du règlement sur l'assurance-vieillesse et survivants du 31 octobre 1947 [RAVS - RS 831.101]). Le fait que dans le canton de Genève, le remboursement de ces frais supplémentaires est réglé de manière forfaitaire à l'art. 23 al. 2 CCT-SOR ne change rien (voir également arrêt 8C_964/2012 ) ; selon le Tribunal fédéral, il n'y a ainsi pas lieu d'ajouter au revenu sans invalidité, déterminant pour la comparaison des revenus, l'indemnité forfaitaire allouée en vertu de l'art. 23 ch. 2 CCT-SOR. Au vu de ce qui précède, le revenu sans invalidité de CHF 75'177.- tel que retenu par l’intimée doit être confirmé.</w:t>
      </w:r>
    </w:p>
    <w:p>
      <w:r>
        <w:rPr>
          <w:b/>
        </w:rPr>
        <w:t>E. 9.2</w:t>
      </w:r>
    </w:p>
    <w:p>
      <w:r>
        <w:t>Pour le revenu d’invalide, le recourant n’ayant pas repris d’activité, l’intimée s’est fondée à juste titre sur les salaires statistiques ressortant des enquêtes sur la structure des salaires (ESS), publiées par l’Office fédéral de la statistique, année 2018, TA1 niveau de compétence 1, total hommes, soit un gain mensuel de CHF 5'417.- et CHF 65'004.- par an. Adapté à l’horaire de travail moyen hebdomadaire de la branche économique (soit 41,7h), le salaire annuel s’élève à CHF 67'766.67 ; après indexation selon l’indice des salaires nominaux de 0,9 % pour 2019, 0.8 % pour 2020 et 0.5 % pour 2021, le salaire d’invalide s’élève à CHF 69'268.-. ![endif]&gt;![if&gt; Le recourant soutient que l’intimée a violé l’art. art. 43 LPGA en n’instruisant pas quelle activité est raisonnablement exigible. La chambre de céans relève cependant que selon le rapport d’examen du Dr G______, la capacité de travail du recourant dans une activité respectant les limitations fonctionnelles est médicalement exigible à 100 %, sans diminution de rendement. Le Dr D______ de la CRR indiquait également en 2018 que le pronostic de réinsertion dans une activité adaptée respectant les limitations fonctionnelles était en théorie favorable. Si l’on ne saurait, certes, se fonder sur des possibilités de travail irréalistes, il ne faut pas non plus poser des exigences excessives à la concrétisation des possibilités de travail et des perspectives de gain ; cet examen s'effectue de façon d'autant plus approfondie que le profil d'exigibilité est défini de manière restrictive (arrêt 8C_95/2020 du 14 mai 2020 consid. 5.2.2). Or, le salaire ressortant du tableau TA1 de l’ESS, niveau de compétence 1, soit les activités simples et répétitives, recouvre un large éventail d’activités légères, variées et non qualifiées sur le marché du travail équilibré, n’exigeant pas de formation particulière et donc accessibles pour le recourant. Le recourant ne saurait dès lors faire grief à l’intimée de s’être fondée sur le salaire moyen ressortant de l’ESS pour déterminer le revenu d’invalide. Sur ce point, l’argument du recourant doit être rejeté.</w:t>
      </w:r>
    </w:p>
    <w:p>
      <w:r>
        <w:rPr>
          <w:b/>
        </w:rPr>
        <w:t>E. 9.3</w:t>
      </w:r>
    </w:p>
    <w:p>
      <w:r>
        <w:t>L’intimée a procédé à un abattement de 10 % sur le revenu d’invalide pour tenir compte des limitations fonctionnelles. Le recourant considère que l’abattement est insuffisant, compte tenu non seulement de ses importantes limitations fonctionnelles, mais aussi de son âge avancé proche de la retraite qui limiterait fortement son employabilité et impliquerait un salaire réduit.![endif]&gt;![if&gt; Concernant l’âge du recourant, le moment où la question de la mise en valeur de la capacité (résiduelle) de travail pour un assuré proche de l'âge de la retraite doit être examinée correspond au moment où il a été constaté que l'exercice (partiel) d'une activité lucrative était médicalement exigible (ATF 146 V 16 consid. 7.1 ; 145 V 2 consid. 5.3.1; 138 V 457 consid. 3 et les références citées). En l’espèce, lors de son examen du 30 septembre 2020, le Dr G______, médecin de la SUVA, a fixé la capacité de travail résiduelle de travail du recourant à 100 % dans une activité adaptée respectant les limitations fonctionnelles. A ce moment-là, le recourant avait alors 62 ans et 6 mois, à savoir 2 ans et demi avant l’âge de la retraite. Si la mise en valeur de sa capacité résiduelle de travail pouvait être immédiate, dès lors que l’éventail des activités accessibles n’exige pas de formation particulière, il convient de retenir, en sus de la durée prévisible des rapports de travail relativement courte, que le recourant a toujours exercé des travaux lourds d’aide-maçon, puis de carreleur chez le même employeur pendant 14 ans et qu’il ne dispose pas d’autre formation. Le recourant peut certes exercer une activité adaptée légère, mais avec des limitations fonctionnelles des deux membres supérieurs ; par conséquent s’il était réemployé, son salaire serait certainement nettement moins élevé que le salaire moyen d’un travailleur non qualifié en bonne santé. La chambre de céans estime qu’il s’agit-là de facteurs à prendre en compte dans leur globalité. Au vu de l’ensemble des circonstances du cas concret, la chambre de céans considère qu’un abattement de 20 % se justifie sur le revenu d’invalide de CHF 69'268.-, soit CHF 13'853.60, arrondi à CHF 13’854.-, de sorte que le gain d’invalide s’élève à CHF 55'414.-. Comparé au revenu sans invalidité de CHF 75'177.-, la perte de gain s’élève à CHF 19’763.-, aboutissant à un degré d’invalidité de 26,28 % et à une rente d’invalidité de 26 %.</w:t>
      </w:r>
    </w:p>
    <w:p>
      <w:r>
        <w:rPr>
          <w:b/>
        </w:rPr>
        <w:t>E. 10</w:t>
      </w:r>
    </w:p>
    <w:p>
      <w:r>
        <w:t>Reste à examiner le taux de l’IPAI de 28 % octroyée par l’intimée et contesté par le recourant. ![endif]&gt;![if&gt;</w:t>
      </w:r>
    </w:p>
    <w:p>
      <w:r>
        <w:rPr>
          <w:b/>
        </w:rPr>
        <w:t>E. 10.1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voir aussi ATF 125 II 169 consid. 2d).</w:t>
      </w:r>
    </w:p>
    <w:p>
      <w:r>
        <w:rPr>
          <w:b/>
        </w:rPr>
        <w:t>E. 10.2</w:t>
      </w:r>
    </w:p>
    <w:p>
      <w:r>
        <w:t>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![endif]&gt;![if&gt;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arrêt du Tribunal fédéral des assurances U 134/03 du 12 janvier 2004 consid. 5.2).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La jurisprudence a reconnu la légalité de cette disposition réglementaire, également dans le cas où les atteintes à l'intégrité sont dues à différents accidents (arrêt du Tribunal fédéral 8C_812/2010 du 2 mai 2011 consid. 6). Si un événement assuré se solde par une atteinte à l'intégrité alors qu'un événement antérieur a déjà donné lieu au versement d'une indemnité pour atteinte à l'intégrité, le principe veut que les indemnités déjà perçues en vertu de la loi soient imputées en pourcentage et non selon le montant (arrêt du Tribunal fédéral 8C_812/2010 du 2 mai 2011 consid. 6.4.4). Selon la jurisprudence, il y a lieu d'additionner le pour cent correspondant à chacune des atteintes, même celles qui n'atteignent pas 5 % (ATF 116 V 156 consid. 3b ; RAMA 1988 p. 230).</w:t>
      </w:r>
    </w:p>
    <w:p>
      <w:r>
        <w:rPr>
          <w:b/>
        </w:rPr>
        <w:t>E. 10.3</w:t>
      </w:r>
    </w:p>
    <w:p>
      <w:r>
        <w:t>En l’espèce, dans son appréciation du 30 septembre 2020, le médecin de la SUVA, se référant au tableau n° 1 de la SUVA relatif aux atteintes à l’intégrité de troubles fonctionnels d’un membre supérieur, a fixé l’IPAI pour les suites de l’accident de 2018 à 30 %, soit 15 % pour le membre supérieur droit et 15 % pour le membre supérieur gauche. Toutefois, compte tenu de l’IPAI de 10 % accordée pour les suites de l’accident du 8 janvier 2013 (fracture du poignet droit), le médecin a réduit à 13 % l’IPAI pour le membre supérieur droit, de sorte que l’IPAI globale s’élève à 28 %.![endif]&gt;![if&gt; La chambre de céans considère qu’il n’y a pas lieu de remettre en cause cette pondération, effectuée conformément à l’art. 36 al. 3 OLAA.</w:t>
      </w:r>
    </w:p>
    <w:p>
      <w:r>
        <w:rPr>
          <w:b/>
        </w:rPr>
        <w:t>E. 11</w:t>
      </w:r>
    </w:p>
    <w:p>
      <w:r>
        <w:t>Au vu de ce qui précède, le recours est partiellement admis. ![endif]&gt;![if&gt;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