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A/3276/2022 vom 29. November 2022</w:t>
      </w:r>
    </w:p>
    <w:p>
      <w:r>
        <w:t>GE Cour de justice, 2022-11-29, FR</w:t>
      </w:r>
    </w:p>
    <w:p>
      <w:r>
        <w:rPr>
          <w:b/>
        </w:rPr>
        <w:t xml:space="preserve">Quelle: </w:t>
      </w:r>
      <w:r>
        <w:t>https://mcp.opencaselaw.ch/entscheid/ge_gerichte_A_3276_2022</w:t>
      </w:r>
    </w:p>
    <w:p>
      <w:r>
        <w:t>FR: GE_GERICHTE A/3276/2022 du 29 novembre 2022</w:t>
      </w:r>
    </w:p>
    <w:p>
      <w:r>
        <w:t>IT: GE_GERICHTE A/3276/2022 del 29 novembre 2022</w:t>
      </w:r>
    </w:p>
    <w:p>
      <w:pPr>
        <w:pStyle w:val="Heading2"/>
      </w:pPr>
      <w:r>
        <w:t>Volltext</w:t>
      </w:r>
    </w:p>
    <w:p>
      <w:r>
        <w:t>Genève Cour de justice (Cour de droit public) Chambre administrative 29.11.2022 A/3276/2022</w:t>
      </w:r>
    </w:p>
    <w:p>
      <w:r>
        <w:t>A/3276/2022 ATA/1192/2022 du 29.11.2022 ( FPUBL ) , IRRECEVABLE En fait En droit RÉPUBLIQUE ET CANTON DE GENÈVE POUVOIR JUDICIAIRE A/3276/2022 - FPUBL ATA/1192/2022 COUR DE JUSTICE Chambre administrative Arrêt du 29 novembre 2022 dans la cause Monsieur A______ contre TRANSPORTS PUBLICS GENEVOIS EN FAIT 1) Par courrier non daté et non signé posté en France le 30 septembre 2022, Monsieur A______, né le ______ 1989, a interjeté une « requête en défense » auprès de la chambre administrative de la Cour de justice (ci-après : la chambre administrative) contre « la société des Transports publics genevois et la décision expresse et implicite de procédure de licenciement abusif en date du 31 août 2022 ». Il a annexé à son écriture diverses pièces, mais pas la décision qu’il contestait.![endif]&gt;![if&gt; 2) Le 7 octobre 2022, la chambre administrative a accusé réception du recours et demandé à M. A______ la production de la décision litigieuse par retour de courrier. Son attention était attirée sur l’art. 65 al. 2 de la loi sur la procédure administrative du 12 septembre 1985 (LPA - E 5 10).![endif]&gt;![if&gt; 3) Le 25 octobre 2022, la chambre de céans a, par courriers recommandé et simple, imparti à M. A______ un délai au 11 novembre 2022 pour adresser un acte comportant sa signature originale, sous peine d'irrecevabilité de son recours. Il lui était également rappelé la lettre du 7 octobre 2022.![endif]&gt;![if&gt; 4) Selon le suivi de la poste, le pli précité a été distribué en date du 29 octobre 2022 à l’adresse indiquée par M. A______.![endif]&gt;![if&gt; 5) M. A______ ne s’est pas manifesté.![endif]&gt;![if&gt; EN DROIT 1) a.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ATA/227/2019 du 5 mars 2019 consid. 3b).![endif]&gt;![if&gt;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l’autorité cantonale devant accorder un bref délai supplémentaire pour corriger le vice, même lorsque le délai de recours est échu (art. 65 al. 3 LPA ; arrêt du Tribunal fédéral 1C_39/2013 c. 2.3 du 11 mars 2013 et les arrêts cités). Cette réglementation tend à éviter tout formalisme excessif en permettant à l’intéressé de réparer une omission. 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2) En l'espèce, l'acte dactylographié expédié le 30 septembre 2022 par le recourant ne contient pas sa signature olographe. Ce dernier n'a pas donné suite ni au pli de la chambre administrative du 7 octobre 2022, ni à celui, recommandé, du 25 octobre 2022 lui impartissant un délai au 11 novembre 2022 pour remédier à cette informalité, faute de quoi son recours serait déclaré irrecevable. Un délai suffisant lui a été imparti pour ce faire et il devait être d'autant plus attentif à tout courrier pouvant lui être adressé par l'autorité puisqu'il a initié lui-même la procédure de recours.![endif]&gt;![if&gt; Dès lors que l'intéressé n'a pas produit d'acte de recours comportant sa signature olographe, la chambre administrative doit le déclarer irrecevable, sans qu'il soit nécessaire d'examiner si les autres conditions de recevabilité, telles que la production de la décision litigieuse (art. 65 al. 2 LPA) au demeurant non produite, sont respectées et ce, sans instruction préalable, conformément à l'art. 72 LPA. 3) Nonobstant l'issue du litige, aucun émolument ne sera mis à la charge du recourant (art. 87 al. 1 LPA ; art. 11 du règlement sur les frais, émoluments et indemnités en procédure administrative du 30 juillet 1986 - RFPA - E 5 10.03) et il ne sera pas alloué d'indemnité de procédure (art. 87 al. 2 LPA).![endif]&gt;![if&gt; * * * * * PAR CES MOTIFS LA CHAMBRE ADMINISTRATIVE déclare irrecevable le recours interjeté le 30 septembre 2022 par Monsieur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le présent arrêt à Monsieur A______ ainsi qu'au Transports publics genevois. Siégeant : Mme Payot Zen-Ruffinen, présidente, M. Verniory, Mme Lauber, M. Mascotto, Mme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