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A/3262/2021 vom 20. Juni 2023</w:t>
      </w:r>
    </w:p>
    <w:p>
      <w:r>
        <w:t>GE Cour de justice, 2023-06-20, FR</w:t>
      </w:r>
    </w:p>
    <w:p>
      <w:r>
        <w:rPr>
          <w:b/>
        </w:rPr>
        <w:t xml:space="preserve">Quelle: </w:t>
      </w:r>
      <w:r>
        <w:t>https://mcp.opencaselaw.ch/entscheid/ge_gerichte_A_3262_2021</w:t>
      </w:r>
    </w:p>
    <w:p>
      <w:r>
        <w:t>FR: GE_GERICHTE A/3262/2021 du 20 juin 2023</w:t>
      </w:r>
    </w:p>
    <w:p>
      <w:r>
        <w:t>IT: GE_GERICHTE A/3262/2021 del 20 giugno 2023</w:t>
      </w:r>
    </w:p>
    <w:p>
      <w:pPr>
        <w:pStyle w:val="Heading2"/>
      </w:pPr>
      <w:r>
        <w:t>Regeste</w:t>
      </w:r>
    </w:p>
    <w:p>
      <w:r>
        <w:t>AMÉNAGEMENT DU TERRITOIRE ET DROIT PUBLIC DES CONSTRUCTIONS;CONSTRUCTION ET INSTALLATION;TRAVAUX DE CONSTRUCTION;PERMIS DE DÉMOLIR;AUTORISATION DÉROGATOIRE(EN GÉNÉRAL);5E ZONE;VOISIN;IMMISSION;QUALITÉ POUR RECOURIR;ACCÈS À UN TRIBUNAL;MOTIVATION DE LA DÉCISION;ESTHÉTIQUE;POMPE;AUTORISATION DE DÉFRICHER;PRISE DE POSITION DE L'AUTORITÉ;EXCÈS ET ABUS DU POUVOIR D'APPRÉCIATION | Confirmation du jugement du TAPI déclarant irrecevable les recours des recourants contre une autorisation de démolir un bâtiment voisin. Confirmation d'une autorisation de construire neuf villas contigües en 5ème zone. Tous les préavis des instances spécialisées sont favorables. Le projet doit faire l'objet de dérogations mais les conditions sont réalisées. Absence de graves inconvénients concernant le trafic et la déchetterie. Le bruit causé par les pompes à chaleur qui seront installées sur la toiture des villas respectent les normes applicables. La requête en abattage est également confirmée au vu du préavis de l'instance spécialisée. Recours rejetés. | LPA.19; LPA.22; LPA.20.al1; Cst.29.al2; Cst.29a; Cst.30.al1; LCI.145.al1; LPA.61; LPA.60.al1.letb; LaLPE.15B.al3; LPA.61.al1; LCI.59.al4; LCI.59.al8; LCI.59.al9; LaLAT.10; LCI.156.al5; LCI.3.al3; LAT.17; LaLAT.19.al3; LaLAT.12.al5; LPMNS.35; LPMNS.38; LAT.21.al1; LAT.33.al1; LAT.35.al1.letb; RACI.1.letc; RACI.9.al1; LCI.14.al1; LPE.1; LPE.7; LPE.11; LPE.12; LPE.13.al1; LPE.15; LPE.25.al1; OPB.1; OPB.2; OPB.7.al1; OPB.38.al1; OPB.39.al1; OPB.40.al1; OPB.41.al1; OPB.43.al1.letb; LAT.3.al2.letd; LPN.3; LPMNS.1.letc; LPMNS.36; RCVA.1; RCVA.2; RCVA.3.al1; RCVA.14; RCVA.15; RCVA.16; LPA.88</w:t>
      </w:r>
    </w:p>
    <w:p>
      <w:pPr>
        <w:pStyle w:val="Heading2"/>
      </w:pPr>
      <w:r>
        <w:t>Erwägungen</w:t>
      </w:r>
    </w:p>
    <w:p>
      <w:r>
        <w:rPr>
          <w:b/>
        </w:rPr>
        <w:t>E. 2</w:t>
      </w:r>
    </w:p>
    <w:p>
      <w:r>
        <w:t>Certains recourants soutiennent qu'en considérant que les préavis des commissions consultatives n'avaient pas à être remis en cause, le TAPI les aurait privés de tout contrôle judiciaire. En outre, le jugement attaqué présentait un défaut de motivation, au motif que le TAPI n'aurait pas traité la question juridique du principe de prévention s'agissant de l'installation des PAC. Enfin, le TAPI n'aurait pas instruit les faits pertinents. ![endif]&gt;![if&gt;</w:t>
      </w:r>
    </w:p>
    <w:p>
      <w:r>
        <w:rPr>
          <w:b/>
        </w:rPr>
        <w:t>E. 2.1</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ATA/1100/2020 du 3 novembre 2020 consid. 3a et les arrêts cités).![endif]&gt;![if&gt;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 ème phr. LPA ; ATF 139 II 185 consid. 9.2 ; 130 II 482 consid. 3.2 ; ATA/769/2015 du 28 juillet 2015 consid. 6b).</w:t>
      </w:r>
    </w:p>
    <w:p>
      <w:r>
        <w:rPr>
          <w:b/>
        </w:rPr>
        <w:t>E. 2.2</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 comprend pas le droit à une audition orale (ATF 140 I 285 consid. 6.3.1 ; arrêt du Tribunal fédéral 2D_51/2018 du 17 janvier 2019 consid. 4.1 ; ATA/1173/2020 du 24 novembre 2020 consid. 3a).![endif]&gt;![if&gt; Le droit d'être entendu comprend également le droit d'obtenir une décision motivée (ATF 142 II 154 consid. 4.2 ; 141 V 557 consid 3.2.1). L'autorité n'est toutefois pas tenue de prendre position sur tous les moyens des parties ; elle peut se limiter aux questions décisives (ATF 142 II 154 consid. 4.2 ; 141 V 557 consid 3.2.1).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2.3</w:t>
      </w:r>
    </w:p>
    <w:p>
      <w:r>
        <w:t>Aux termes de l'art. 29a Cst., toute personne a droit à ce que sa cause soit jugée par une autorité judiciaire. L'art. 6 de la Convention de sauvegarde des droits de l’homme et des libertés fondamentales du 4 novembre 1950 (CEDH - RS 0.101) n'offre pas de protection plus étendue que l'art. 29a Cst. (ATF 134 V 401 consid. 5.3 ; arrêts du Tribunal fédéral 2C_705/2021 du 7 février 2022 consid. 6.1 ; 8C_246/2018 du 16 janvier 2019 consid. 6.2).![endif]&gt;![if&gt; Toute personne dont la cause doit être jugée dans une procédure judiciaire a droit à ce que sa cause soit portée devant un tribunal établi par la loi, compétent, indépendant et impartial (art. 30 al. 1 Cst.). Selon l'art. 145 al. 1 LCI, toute décision prise par le département en application de la LCI ou des règlements prévus à l’art. 151 LCI peut être déférée au TAPI.</w:t>
      </w:r>
    </w:p>
    <w:p>
      <w:r>
        <w:rPr>
          <w:b/>
        </w:rPr>
        <w:t>E. 2.4</w:t>
      </w:r>
    </w:p>
    <w:p>
      <w:r>
        <w:t>Chaque fois que l'autorité administrative suit les préavis des instances consultatives, l'autorité de recours observe une certaine retenue, fonction de son aptitude à trancher le litige (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ATA/423/2023 du 25 avril 2023 consid. 5.2 ; ATA/1261/2022 du 13 décembre 2022 consid. 4d et les références citées).![endif]&gt;![if&gt;</w:t>
      </w:r>
    </w:p>
    <w:p>
      <w:r>
        <w:rPr>
          <w:b/>
        </w:rPr>
        <w:t>E. 2.5</w:t>
      </w:r>
    </w:p>
    <w:p>
      <w:r>
        <w:t>En l'occurrence, la décision d'autorisation de construire DD 2______ indique qu'elle peut faire l'objet d'un recours au TAPI dans les 30 jours, ce qu'ont fait précisément les recourants. Ils ne sauraient dès lors être suivis lorsqu'ils soutiennent qu'aucune autorité judiciaire n'a traité le dossier. Autre est la question de savoir si c'est à juste titre que le TAPI a confirmé l'autorisation de construire querellée. Il sera répondu à cette question plus loin. ![endif]&gt;![if&gt; Dans son jugement, qui comporte 32 pages, le TAPI a, dès le consid. 23 de la page 20, répondu aux différents griefs recevables des recourants. Il est notamment expliqué les raisons pour lesquelles le préavis de la commune n'était pas nécessaire (consid. 31), que l'intervention des autorités de recours n'était admissible que dans les cas où le département s'était laissé guider par des considérations non fondées objectivement, étrangères au but prévu par la loi ou en contradiction avec elle (consid. 30), que lorsqu'elle estimait que l'autorité inférieure était mieux en mesure d'attribuer à une notion juridique indéterminée un sens approprié au cas à juger, l'autorité de recours s'imposait une certaine retenue (consid. 29), que lorsqu'un préavis était obligatoire, il convenait de ne pas le minimiser (consid. 30), que l'autorité administrative jouissait d'un large pouvoir d'appréciation (consid. 30) et que le TAPI devait faire preuve de retenue et respecter la latitude de jugement conférée au département et ne pouvait en corriger le résultat en fonction d'une autre conception, même si celle‑ci n'était pas dénuée de pertinence, sauf à statuer en opportunité, ce que la loi lui interdisait de faire (consid. 33). Le TAPI a donc expliqué pourquoi les préavis des commissions consultatives, composées de spécialistes capables d'émettre un jugement dépourvu de subjectivisme et de considérations étrangères aux buts de protection fixés par la loi, avaient un poids certain. Le bien-fondé de cette analyse par rapport aux éléments du dossier concerne le fond du litige et sera examiné ci‑dessous. Dès le consid. 34, le TAPI a discuté du grief relatif au respect des normes de l'OPB par rapport à l'installation des PAC. L'art. 7 al. 1 OPB est notamment cité, lequel matérialise le principe de prévention dont font état les recourants. Le jugement attaqué détaille les motifs qui lui ont permis de retenir que l'installation de ces PAC, à l'endroit prévu, respectait les normes de protection de l'environnement (consid. 46). Les recourants ont d'ailleurs pu faire valoir en toute connaissance de cause leurs arguments à l'encontre de cet élément dans le cadre de leurs écritures déposées par-devant la chambre de céans. En toute hypothèse, s'il devait être retenu que le TAPI n'a pas traité le grief soulevé, cette éventuelle violation serait réparée dans le cadre du présent recours puisque le recours à la chambre administrative ayant un effet dévolutif complet, celle-ci dispose d'un libre pouvoir d'examen en fait et en droit (art. 61 LPA). Enfin, comme le rappelle la jurisprudence précitée, le TAPI est en droit de procéder à une appréciation anticipée des preuves et de renoncer à l'administration de ces dernières, s'il est certain que celles-ci ne l'amèneront pas à modifier son opinion. Or, comme il sera vu dans les considérants qui suivent, les pièces du dossier permettaient à l'instance inférieure de se prononcer en toute connaissance de cause. Dans ces conditions, aucune violation du droit d'accès au juge ni du droit d’être entendus des recourants ne peut être retenue. Ces griefs doivent donc être écartés.</w:t>
      </w:r>
    </w:p>
    <w:p>
      <w:r>
        <w:rPr>
          <w:b/>
        </w:rPr>
        <w:t>E. 3</w:t>
      </w:r>
    </w:p>
    <w:p>
      <w:r>
        <w:t>Les recourants estiment que le TAPI aurait dû leur reconnaître la qualité pour recourir à l'encontre de l'autorisation de démolir M 1______. Ils mettent en avant l'intérêt à la préservation du paysage et à l'architecture existante, que la procédure de désamiantage avait été totalement bâclée avec des risques pour leur santé et que la démolition d'une ancienne construction datant de 1955 serait contraire aux principes de l'aménagement du territoire et du PDCom. ![endif]&gt;![if&gt;</w:t>
      </w:r>
    </w:p>
    <w:p>
      <w:r>
        <w:rPr>
          <w:b/>
        </w:rPr>
        <w:t>E. 3.1</w:t>
      </w:r>
    </w:p>
    <w:p>
      <w:r>
        <w:t>L'art. 60 al. 1 let. b LPA pose, en matière de qualité pour recourir, l'exigence d'être touché directement par l'acte attaqué concerné (ici une décision) et d'avoir un intérêt personnel digne de protection à ce que l'acte soit annulé ou modifié. Cette exigence correspond à celle prévue à l'art. 89 al. 1 loi fédérale sur le Tribunal fédéral du 17 juin 2005 (LTF - RS 173.110 ; arrêts du Tribunal fédéral 1C_554/2019 du 5 mai 2020 consid. 3.1, qui confirme l' ATA/1337/2019 du 3 septembre 2019 consid. 3a ; 1C_27/2018 du 6 avril 2018 consid. 1.1 s'agissant de la qualité pour recourir du voisin).![endif]&gt;![if&gt; Selon la jurisprudence du Tribunal fédéral, pour satisfaire aux critères de l'art. 89 al. 1 de la LTF, le recourant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du Tribunal fédéral 1C_27/2018 du 6 avril 2018 consid. 1.1 et les arrêts cités). Ainsi, la jurisprudence a considéré que des voisins, situés à environ 100 mètres de la construction projetée, ne sont pas particulièrement atteints par ce projet s'ils ne voient pas depuis leur propriété la toiture qu'ils critiquent (arrêt du Tribunal fédéral 1C_338/2011 du 30 janvier 2012 consid. 3, publié in SJ 2012 I 422). Lorsque des immissions de nature purement idéale ou immatérielle sont invoquées, les conditions de la qualité pour recourir doivent être remplies de manière plus stricte que pour les immissions matérielles (ATF 112 Ib 154 consid. 3 ; arrêt du Tribunal fédéral 1A.98/1994 du 28 mars 1995 consid. 2c). Les immissions ou les risques justifiant l'intervention d'un cercle élargi de personnes doivent présenter un certain degré d'évidence, sous peine d'admettre l'action populaire que la loi a précisément voulu exclure (ATF 121 II 176 consid. 3a ; arrêt du Tribunal fédéral 1C_343/2014 du 21 juillet 2014 consid. 2.5). Il incombe au recourant d'alléguer, sous peine d'irrecevabilité, les faits qu'il considère comme propres à fonder sa qualité pour recourir, lorsqu'ils ne ressortent pas de façon évidente de la décision attaquée ou du dossier (ATF 139 II 499 consid. 2.2 ; arrêt du Tribunal fédéral 1C_554/2019 du 5 mai 2020 consid. 3.1).</w:t>
      </w:r>
    </w:p>
    <w:p>
      <w:r>
        <w:rPr>
          <w:b/>
        </w:rPr>
        <w:t>E. 3.2</w:t>
      </w:r>
    </w:p>
    <w:p>
      <w:r>
        <w:t>S'agissant de la qualité pour recourir de voisins contestant, sur le fond, une autorisation de démolir une villa et une piscine extérieure, le Tribunal fédéral a examiné la question de savoir s'ils seraient en mesure de retirer un avantage pratique de l'annulation ou de la modification d'une décision tranchant au fond le sort d'une telle autorisation. Selon notre Haute Cour, on distinguait mal quel avantage de fait ou de droit procurerait aux voisins le maintien de ces installations. Respectivement, on peinait à imaginer quel préjudice ils subiraient du fait de la disparition de ces constructions. Certes, les travaux de démolition entraîneraient éventuellement des nuisances en matière de bruit et de poussière, toutefois limitées dans le temps de sorte qu'elles ne sauraient à elles seules fonder un intérêt pratique à recourir. Les recourants ne faisaient en outre pas valoir une valeur patrimoniale particulière des installations destinées à être détruites, ni n'invoquaient de disposition légale tendant à les protéger. Enfin, la destruction des installations existantes ne conférait, en elle‑même, aux propriétaires de la parcelle concernée aucun droit d'ériger une nouvelle construction. Cette question était soumise à une procédure séparée, qui avait donné lieu à une autorisation de construire, distincte de celle de démolir, et que les recourants avaient aussi contestée devant la juridiction compétente. À défaut de retirer un avantage pratique, le Tribunal fédéral a dénié la qualité pour recourir aux voisins (arrêt du Tribunal fédéral 1C_27/2018 du 6 avril 2018 consid. 1.2 et 1.3).![endif]&gt;![if&gt; Dans une autre affaire concernant le recours de voisins directs contre l'autorisation de démolir une villa, une piscine et un garage, le Tribunal fédéral a confirmé cette jurisprudence ainsi que le refus de la chambre administrative d'accorder la qualité pour recourir aux voisins directs. Dans cette affaire, la villa serait remplacée par un trou en raison du refus de l'autorisation de construire. Ledit refus n'était pas de nature à conférer un avantage pratique aux voisins. D'une part, l'autorisation de construire – objet d'une autre procédure de recours – était soumise à une procédure distincte de celle de l'autorisation de démolir. D'autre part, la destruction des constructions existantes ne conférait, en elle-même, aux propriétaires de la parcelle concernée aucun droit d'ériger une nouvelle construction. Les voisins n'avaient donc pas rendu vraisemblable l'existence d'une atteinte particulière susceptible de fonder leur qualité pour agir (arrêt du Tribunal fédéral 1C_554/2019 du 5 mai 2020 consid. 3.3).</w:t>
      </w:r>
    </w:p>
    <w:p>
      <w:r>
        <w:rPr>
          <w:b/>
        </w:rPr>
        <w:t>E. 3.3</w:t>
      </w:r>
    </w:p>
    <w:p>
      <w:r>
        <w:t>En l'espèce, outre le fait que le Tribunal fédéral retient que l'intérêt lié à la préservation du patrimoine revêt une portée générale insuffisante pour reconnaître un intérêt digne de protection à faire opposition à la démolition d'une maison (arrêt du Tribunal fédéral 1C_2/2015 du 9 janvier 2015 consid. 4), le SMS a émis un préavis favorable sans observation à la démolition des bâtiments présents sur les parcelles en cause. Le document en question indique être basé sur le rapport d'un historien de l'office du patrimoine et des sites (ci-après : OPS) qui s'est rendu sur place le 12 juin 2019. Dans son rapport, il a indiqué que le bâtiment construit en 1955 était d'expression courante avec une architecture banale. Les matériaux mis en œuvre étaient modestes. En dépit de son bon état général et de son environnement privilégié, le bâtiment à démolir ne présentait pas d'intérêt patrimonial. Le SMS a donc considéré que l'intérêt historico-architectural ne justifiait pas l'ouverture d'une procédure de mise sous protection. ![endif]&gt;![if&gt; Comme vu ci-dessus,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Or, au vu des photographies présentes au dossier, en comparaison avec les bâtiments classés qui figurent dans le PDCom dont se prévalent les recourants, on ne peut que suivre l'historien de l'OPS dans son analyse. Les bâtiments classés sur la commune disposent en effet d'une architecture unique : un décor finement sculpté avec un jeu de saillies et des retraits par exemple, ce qui n'est pas le cas du bâtiment à démolir. Il est vrai que la commune, le 17 avril 2019, a préavisé défavorablement le projet de démolition précisant que la maison faisait partie du patrimoine de la commune et en était représentative. Il est toutefois étonnant que, le même jour, la commune ait délivré un préavis favorable sous réserve au projet de construction des villas contigües. Indépendamment de cette contradiction, il ressort des données du SITG qu'un recensement architectural a été mené en 2021 à Genthod. Selon la fiche concernant la maison à démolir, le bâtiment est d'intérêt secondaire. Il s'agit en effet d'un bâtiment commun, s'inscrivant dans la production de son époque, de qualité moyenne. Le fait que le chemin N______ soit recensé en tant que chemin historique, que les parcelles en cause fassent partie du règlement de construction ou encore que des historiens se soient prononcés sur les particularités générales de la commune ne change rien par rapport à l'analyse détaillée du bâtiment effectuée par des spécialistes de l'intérêt historico-architectural. Enfin, les recourants ne sauraient être suivis lorsqu'ils font valoir une violation des principes de l'aménagement du territoire et du PDCom pour fonder leur qualité pour recourir à l'encontre de la décision de démolition. En effet, l'examen de ces questions doit se faire dans le cadre de l'analyse du bien-fondé de l'autorisation de construire DD 2______ délivrée. Les intéressés font d'ailleurs valoir ce grief dans leurs écritures. Les recourants ne peuvent donc pas se prévaloir de l'intérêt à la préservation du paysage et à l'architecture existante pour revendiquer la qualité pour recourir contre l'autorisation de démolir M 1______.</w:t>
      </w:r>
    </w:p>
    <w:p>
      <w:r>
        <w:rPr>
          <w:b/>
        </w:rPr>
        <w:t>E. 3.4</w:t>
      </w:r>
    </w:p>
    <w:p>
      <w:r>
        <w:t>Dans la mesure où le bâtiment le plus proche des recourants se situe somme toute à bonne distance de la maison à démolir (environ 60 m selon le SITG), il est douteux qu'ils puissent inhaler des fibres d'amiante à la suite des travaux de démolition. Indépendamment de cela, le rapport de L______ du 4 février 2019 indique certes la présence d'amiante dans les parties du bâtiment concernées par la demande (carton isolant, dalles vinyle et colle noire, bouilleur, cheminée et mastic de vitrages). Il est toutefois indiqué qu'une entreprise spécialisée devra être mandatée pour retirer ces éléments. Par ailleurs, mis à part la cheminée, il ne s'agit pas de travaux lourds puisque cela concerne par exemple le mastic de vitrages ou encore les joints. Le risque que la santé des voisins soit ainsi exposée est donc très limité. En outre, quand bien même l'intérieur du garage, les murs et sols, ainsi que toutes les parties enterrées n'auraient pas été examinés, le rapport spécifie que ces objets devraient faire l'objet de diagnostics complémentaires ou être considérés comme amiantés par défaut. Ainsi et pour autant que les éléments non examinés contiennent de l'amiante, il devra être fait appel à l'entreprise spécialisée à même de les traiter. ![endif]&gt;![if&gt; Comme le précise la directive amiante, l'art. 15B al. 3 de la loi d'application de la loi fédérale sur la protection de l'environnement du 2 octobre 1997 (K 1 70 - LaLPE) prévoit que le requérant doit joindre à la demande d'autorisation, pour les parties du bâtiment concernées par les travaux une attestation de présence ou d'absence d'amiante et de PCB (art. 7 al. 2 let. l, 9 al. 2 let. aa et 10 al. 2 lit. h du règlement d'application de la LCI du 27 février 1978 [L 5 05.01 - RCI]). Ladite attestation de substances dangereuses figure bien au dossier soumis. Il y est fait référence dans le rapport de L______ du 4 février 2019, qui comme vu ci-dessus, est suffisant pour garantir le traitement adéquat des substances dangereuses. Enfin, force est de constater que l'autorisation de démolir contestée est conditionnée à ce que tous « tous matériaux pouvant contenir de l'amiante tels que gaine technique, plaque éternit, isolant, etc… devront être traités de façon à assurer la protection des travailleurs et du voisinage. De plus, ces matériaux devront être évacués conformément à la législation en vigueur ». L'importance de la question du traitement de ces éléments par rapport au voisinage a donc bien été prise en considération dans le cadre de l'autorisation rendue. Dans ces circonstances, les recourants ne peuvent pas se prévaloir d'éventuels manquements dans le cadre de la procédure d'examen des bâtiments à démolir pour prétendre disposer de la qualité pour recourir contre l'autorisation de démolir M 1______. Pour le surplus, c'est de manière conforme au droit que le TAPI a retenu que les nuisances qui seraient provoquées par le chantier, à savoir du bruit et de la poussière, limitées dans le temps, ne sauraient à elles seules fonder un intérêt pratique à recourir (arrêt 1C_411/2014 du 9 janvier 2015 consid. 2.3.2, publié in SJ 2015 I 263). Au vu de ces éléments, c'est conformément au droit que le TAPI a déclaré irrecevables les recours déposés contre l'autorisation de démolir M 1______.</w:t>
      </w:r>
    </w:p>
    <w:p>
      <w:r>
        <w:rPr>
          <w:b/>
        </w:rPr>
        <w:t>E. 4</w:t>
      </w:r>
    </w:p>
    <w:p>
      <w:r>
        <w:t>Les recourants soutiennent que le projet autorisé constituait une densification excessive. L'art. 59 al. 4, ainsi que les al. 8, 9 et 10 LCI dans leur teneur au 26 janvier 2013 ne seraient pas respectés. Le quartier serait désigné comme étant une zone à protéger au sens de l'art. 17 LAT.![endif]&gt;![if&gt;</w:t>
      </w:r>
    </w:p>
    <w:p>
      <w:r>
        <w:rPr>
          <w:b/>
        </w:rPr>
        <w:t>E. 4.1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ATA/349/2021 du 23 mars 2021 consid. 3).</w:t>
      </w:r>
    </w:p>
    <w:p>
      <w:r>
        <w:rPr>
          <w:b/>
        </w:rPr>
        <w:t>E. 4.2</w:t>
      </w:r>
    </w:p>
    <w:p>
      <w:r>
        <w:t>La demande d'autorisation de construire litigieuse, déposée le 18 mars 2019, est antérieure à la modification de l'art. 59 LCI entrée en vigueur le 28 novembre 2020 (art. 156 al. 5 LCI ; ATA/156/2021 du 9 février 2021 consid. 3). C'est donc l'art. 59 LCI adopté le 26 janvier 2013 qui est applicable au cas d'espèce, ce que le TAPI a, à juste, titre retenu et n'est pas contesté par les recourants. ![endif]&gt;![if&gt;</w:t>
      </w:r>
    </w:p>
    <w:p>
      <w:r>
        <w:rPr>
          <w:b/>
        </w:rPr>
        <w:t>E. 4.3</w:t>
      </w:r>
    </w:p>
    <w:p>
      <w:r>
        <w:t>Dans sa teneur en vigueur du 26 janvier 2013 et au 28 novembre 2020, l’art. 59 al. 4 LCI disposait que lorsque les circonstances le justifient et que cette mesure est compatible avec le caractère, l’harmonie et l’aménagement du quartier, le département (a) peut autoriser, après consultation de la commune et de la commission d’architecture, un projet de construction en ordre contigu ou sous forme d’habitat groupé dont la surface de plancher habitable n’excède pas 40 % de la surface du terrain, 44 % lorsque la construction est conforme à un standard de HPE, 48 % lorsque la construction est conforme à un standard de THPE, reconnue comme telle par le service compétent et (b) peut autoriser exceptionnellement, lorsque la surface totale de la parcelle ou d’un ensemble de parcelles contiguës est supérieure à 5 000 m 2 , avec l’accord de la commune exprimé sous la forme d’une délibération municipale et après la consultation de la commission d’architecture, un projet de construction en ordre contigu ou sous forme d’habitat groupé dont la surface de plancher habitable n’excède pas 50 % de la surface du terrain, 55 % lorsque la construction est conforme à un standard de HPE, 60 % lorsque la construction est conforme à un standard de THPE, reconnue comme telle par le service compétent.![endif]&gt;![if&gt; L'art. 59 al. 8 LCI prévoit que la surface des constructions en sous-sol, exprimée en m 2 de plancher brut, ne doit pas excéder la surface de plancher hors sol qui peut être autorisée. Dans tous les cas, la surface du sous-sol, y compris celle du sous-sol des constructions de peu d'importance, ne peut excéder le 20 % de la surface de la parcelle. Cette surface peut être portée à 22 % lorsque la construction est conforme à un standard de HPE, respectivement à 24 % lorsque la construction est conforme à un standard de THPE, reconnue comme telle par le service compétent (art. 59 al. 9 LCI).</w:t>
      </w:r>
    </w:p>
    <w:p>
      <w:r>
        <w:rPr>
          <w:b/>
        </w:rPr>
        <w:t>E. 4.4</w:t>
      </w:r>
    </w:p>
    <w:p>
      <w:r>
        <w:t>Le PDCom fixe les orientations futures de l'aménagement de tout ou partie du territoire d'une ou plusieurs communes. Il est compatible avec les exigences de l'aménagement du territoire du canton, contenues notamment dans le PDCn (art. 10 al. 1 et al. 2 LaLAT).![endif]&gt;![if&gt; La fiche A04 du PDCn 2030, intitulée « Favoriser une utilisation diversifiée de la zone villas », a pour objectif la poursuite de la densification sans modification de zone de la zone villas en favorisant l'habitat individuel groupé. Elle vise une accentuation de la densification de la zone villas aux abords de l'agglomération, alors que les secteurs relevant de la protection du patrimoine et des sites devraient conserver une urbanisation plus légère. Cette fiche donne mandat aux communes de proposer, dans leurs PDCom, des stratégies communales pour leur zone villas en identifiant les secteurs à densifier, les éléments remarquables à protéger, le maillage arborisé à maintenir ou à créer, les espaces verts et publics à créer.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w:t>
      </w:r>
    </w:p>
    <w:p>
      <w:r>
        <w:rPr>
          <w:b/>
        </w:rPr>
        <w:t>E. 4.5</w:t>
      </w:r>
    </w:p>
    <w:p>
      <w:r>
        <w:t>Selon la jurisprudence, un projet de construction conforme au droit cantonal ne peut être refusé au seul motif qu'il contreviendrait à un PDCom (arrêt du Tribunal fédéral 1C_257/2013 du 13 janvier 2014 consid. 5.3 ; arrêt du Tribunal fédéral 1A.154/2002 du 22 janvier 2003). Par « conforme au droit cantonal », il faut entendre conforme au plan d'affectation (nutzungskonformes Bauvorhaben). En effet, le refus d'une autorisation au seul motif que le projet de construction contreviendrait au PDCom, reviendrait à donner à ce plan directeur un effet anticipé inadmissible (unzulässige Vorwirkung) et à aboutir à une modification du plan d'affectation en vigueur (arrêt du Tribunal fédéral 1A.154/2002 précité consid. 4.1). Toutefois, il ne faut pas tirer de cette argumentation la conclusion que le plan directeur ne serait d'aucune importance dans le cadre d'une autorisation de construire. L'effet obligatoire d'un tel plan se déploie là où l'ordre juridique confère un pouvoir d'appréciation ou introduit des concepts juridiques indéterminés ménageant de la sorte une marge de manœuvre. Si le droit applicable exige une pesée globale des intérêts, alors le contenu du plan directeur doit être considéré, dans la pesée des intérêts, comme le résultat obligatoire du processus de coordination spatiale (räumlicher Abstimmungsprozess), étant précisé que le plan directeur n'exprime les besoins spatiaux que du point de vue de la collectivité publique. Reste réservée la pesée des intérêts qui doit être faite dans un cas particulier en prenant aussi en compte les intérêts publics qui ne relèvent pas de l'aménagement du territoire ainsi que les intérêts privés. Le plan directeur s'impose aux seules autorités chargées des tâches dont l'accomplissement a des effets sur l'organisation du territoire, et non aux autorités judiciaires qui ont pour fonction d'examiner la légalité des actes étatiques. Dans le cadre d'un recours interjeté par une personne privée, il y a lieu de vérifier si le refus de l'autorisation sollicitée dans cette affaire repose sur une pesée globale de tous les intérêts publics et privés déterminants, qui ne soit pas entachée d'un vice lié à l'exercice du pouvoir d'appréciation (arrêt du Tribunal fédéral 1A.154/2002 précité consid. 4.2 ; ATA/639/2020 précité consid. 5c).![endif]&gt;![if&gt;</w:t>
      </w:r>
    </w:p>
    <w:p>
      <w:r>
        <w:rPr>
          <w:b/>
        </w:rPr>
        <w:t>E. 4.6</w:t>
      </w:r>
    </w:p>
    <w:p>
      <w:r>
        <w:t>Au niveau cantonal, le respect des plans directeurs est assuré par la direction de la planification cantonale, cette instance étant, selon la jurisprudence, celle qui est le plus à même de déterminer si une révision d'un PDCom est en cours, ainsi que l'impact de ce projet sur une requête en autorisation de construire ( ATA/498/2020 du 19 mai 2020 consid. 4d).![endif]&gt;![if&gt;</w:t>
      </w:r>
    </w:p>
    <w:p>
      <w:r>
        <w:rPr>
          <w:b/>
        </w:rPr>
        <w:t>E. 4.7</w:t>
      </w:r>
    </w:p>
    <w:p>
      <w:r>
        <w:t>En l'espèce, la demande d'autorisation de construire litigieuse, déposée le 18 mars 2019, est antérieure à la modification de l'art. 59 LCI entrée en vigueur le 28 novembre 2020 (art. 156 al. 5 LCI ; ATA/156/2021 du 9 février 2021 consid. 3). C'est donc l'art. 59 LCI adopté le 26 janvier 2013 qui est applicable au cas d'espèce, ce que le TAPI a, à juste, titre retenu.![endif]&gt;![if&gt;</w:t>
      </w:r>
    </w:p>
    <w:p>
      <w:r>
        <w:rPr>
          <w:b/>
        </w:rPr>
        <w:t>E. 4.8</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Selon l'art. 59 al. 4 let. a LCI, tant le préavis de la commune que celui de la CA ont cette caractéristique ( ATA/259/2020 du 3 mars 2020 consid. 5). La délivrance de telles autorisations de construire demeure toutefois de la compétence exclusive du département, à qui il appartient de statuer en tenant compte de tous les intérêts en présence ( ATA/1273/2017 du 12 septembre 2017 consid. 11c et les références citées).![endif]&gt;![if&gt; Comme cela ressort des travaux préparatoires, le législateur a été confronté à la question de soumettre également la densification prévue par la let. a de l'art. 59 al. 4 LCI à l'accord de la commune, exprimé sous forme de délibération municipale, comme cela est prévu pour le cas de figure de la let. b de cette norme. Il y a répondu négativement considérant que dans l'hypothèse de l'art. 59 al. 4 let. a LCI, la nécessité d'obtenir un tel accord de la commune compromettrait l'objectif de densification poursuivi par cette disposition ( ATA/1301/2019 du 27 août 2019 consid. 8 et les références citées).</w:t>
      </w:r>
    </w:p>
    <w:p>
      <w:r>
        <w:rPr>
          <w:b/>
        </w:rPr>
        <w:t>E. 4.9</w:t>
      </w:r>
    </w:p>
    <w:p>
      <w:r>
        <w:t>Dans sa jurisprudence relative aux préavis de la CA, la chambre de céans a retenu qu’un préavis favorable n’a en principe pas besoin d’être motivé ( ATA/1299/2019 du 27 août 2019 consid. 4 ; ATA/414/2017 du 11 avril 2017 consid. 7b confirmé par l’arrêt du Tribunal fédéral 1C_297/2017 du 6 décembre 2017 consid. 3.4.2). Néanmoins, il arrive qu'une motivation plus explicite soit requise lorsque, par exemple, l’augmentation de la hauteur du gabarit légal est trop importante ( ATA/824/2013 du 17 décembre 2013 consid. 5).![endif]&gt;![if&gt;</w:t>
      </w:r>
    </w:p>
    <w:p>
      <w:r>
        <w:rPr>
          <w:b/>
        </w:rPr>
        <w:t>E. 4.10</w:t>
      </w:r>
    </w:p>
    <w:p>
      <w:r>
        <w:t>Selon le Tribunal fédéral,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du Tribunal fédéral 1C_134/2021 du 13 janvier 2022 consid. 6.1.2 et les références citées).![endif]&gt;![if&gt;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ATA/639/2020 du 30 juin 2020 consid. 4d).</w:t>
      </w:r>
    </w:p>
    <w:p>
      <w:r>
        <w:rPr>
          <w:b/>
        </w:rPr>
        <w:t>E. 4.11</w:t>
      </w:r>
    </w:p>
    <w:p>
      <w:r>
        <w:t>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consid. 6 et la jurisprudence citée).![endif]&gt;![if&gt;</w:t>
      </w:r>
    </w:p>
    <w:p>
      <w:r>
        <w:rPr>
          <w:b/>
        </w:rPr>
        <w:t>E. 4.12</w:t>
      </w:r>
    </w:p>
    <w:p>
      <w:r>
        <w:t>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ATA/1098/2019 du 25 juin 2019 consid. 2e).![endif]&gt;![if&gt;</w:t>
      </w:r>
    </w:p>
    <w:p>
      <w:r>
        <w:rPr>
          <w:b/>
        </w:rPr>
        <w:t>E. 4.13</w:t>
      </w:r>
    </w:p>
    <w:p>
      <w:r>
        <w:t>Selon l'art. 17 LAT, les zones à protéger comprennent les cours d’eau, les lacs et leurs rives (al. 1 let. a), les paysages d’une beauté particulière, d’un grand intérêt pour les sciences naturelles ou d’une grande valeur en tant qu’éléments du patrimoine culturel (al. 1 let. b), les localités typiques, les lieux historiques, les monuments naturels ou culturels (al. 1 let. c), les biotopes des animaux et des plantes dignes d’être protégés (al. 1 let. d). Au lieu de délimiter des zones à protéger, le droit cantonal peut prescrire d’autres mesures adéquates (al. 2).![endif]&gt;![if&gt; La 5 ème zone est une zone résidentielle destinée aux villas ; des exploitations agricoles peuvent également y trouver place.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 (art. 19 al. 3 LaLAT) Les zones protégées constituent des périmètres délimités à l’intérieur d’une zone à bâtir ordinaire ou de développement et qui ont pour but la protection de l’aménagement et du caractère architectural des quartiers et localités considérés (art. 12 al. 5 LaLAT). Sont protégés conformément à la loi sur la protection des monuments, de la nature et des sites du 4 juin 1976 (LPMNS - L 4 05) les sites et paysages, espèces végétales et minéraux qui présentent un intérêt biologique, scientifique, historique, esthétique ou éducatif (art. 35 al. 1 LPMNS). Constituent notamment des sites, au sens de l’al. 1 : a) des paysages caractéristiques, tels que rives, coteaux, points de vue ; b) les ensembles bâtis qui méritent d’être protégés pour eux-mêmes ou en raison de leur situation privilégiée (art. 35 al. 2 LPMNS). Le Conseil d’État peut édicter les dispositions nécessaires à l’aménagement ou à la conservation d’un site protégé par l’approbation d’un plan de site assorti, le cas échéant, d’un règlement (art. 38 al. 1 LPMNS). Ces plans et règlements déterminent notamment : a) les mesures propres à assurer la sauvegarde ou l’amélioration des lieux, telles que : maintien de bâtiments existants, alignement aux abords de lisières de bois et forêts ou de cours d’eau; angles de vue, arborisation ; b) les conditions relatives aux constructions, installations et exploitations de toute nature (implantation, gabarit, volume, aspect, destination) (art. 38 al. 2 let. a et b LPMNS).</w:t>
      </w:r>
    </w:p>
    <w:p>
      <w:r>
        <w:rPr>
          <w:b/>
        </w:rPr>
        <w:t>E. 4.14</w:t>
      </w:r>
    </w:p>
    <w:p>
      <w:r>
        <w:t>En l'espèce, le département a fondé l’octroi de l’autorisation sur les derniers préavis des instances spécialisées, qui étaient tous favorables : celui de la DAC, avec dérogations, du 9 juin 2021, de la CA, avec dérogations, du 15 décembre 2020, de l’OCAN, sous conditions, du 6 octobre 2020, du SPI, sans observation, du 15 novembre 2019 et 5 octobre 2020, de la commune, favorable sans remarques, du 22 octobre 2020, celui du SABRA, favorable sous conditions, du 19 octobre 2020, celui de l'OCT, favorable sans observation, du 9 décembre 2020, et enfin celui de l'OCEau, favorable sous conditions, du 17 décembre 2020.![endif]&gt;![if&gt; Plus particulièrement, dans son dernier préavis du 15 décembre 2020, la CA, après avoir examiné quatre fois le projet et demandé notamment sa modification, a préavisé favorablement le projet n° 5 et mentionné expressément la dérogation de l'art. 59 al. 4 et 10 LCI nécessaire. Hormis la question du maintien de la végétation existante avec des éléments boisés, du côté du chemin N______, la CA n'a fait aucune mention d'une éventuelle inadéquation des bâtiments projetés avec ceux existant aux alentours et aucun élément au dossier ne permet de retenir que la CA n'aurait pas examiné de façon attentive la requête d'autorisation de construire. En outre, il apparaît que le secteur dans lequel le projet litigieux est prévu est constitué de constructions aux typologies variées. Le quartier concerné n'est en effet pas essentiellement constitué de maisons individuelles, puisque ces dernières années des villas contiguës y ont été érigées et que des projets d'habitats groupés sont en cours de construction. La consultation du SITG confirme la construction, entre autres, de trois villas en habitat groupé avec garages aux 1A, 1B et 1C, chemin N______, ______ (DD 3______/1), soit les propriétés des recourants ou encore la DD 4______/1, en cours d'instruction, concernant la construction de logements collectifs et d'un parking souterrain au ______, chemin N______. Il s'ensuit qu'une modification de l'aménagement du quartier a d'ores et déjà été entamée afin de pallier les problématiques d'aménagement du territoire, conformément à la volonté du législateur. En effet, celui-ci a eu conscience de l'évolution du visage des quartiers de villas et a souhaité encourager la réalisation de ces nouvelles formes d'habitat (groupé ou en ordre contigu), lorsqu'il a augmenté les IUS dérogatoires susceptibles d'être appliqués dans cette zone (cf. l'intervention de Monsieur Christophe AUMEUNIER, rapporteur de majorité, lors du premier débat consacré au PL 10'891, MGC 2012/II/A/ p. 1432 ss). Il a considéré cette évolution comme une réponse utile et nécessaire aux problèmes de l'exiguïté du territoire et à la pénurie de logements ( ATA/285/2021 précité consid. 6 ; ATA/284/2016 du 5 avril 2016 consid. 7f ). Dans ce contexte, il est difficile de reprocher au département de faire une application systématique de l'art. 59 al. 4 LCI ou de considérer la dérogation comme étant devenue la règle alors qu'il met en œuvre la volonté du législateur dans le respect des exigences légales et jurisprudentielles. Le projet apparaît ainsi être compatible avec le visage du quartier et conforme à la zone, étant rappelé que l'autorité de recours doit observer une certaine retenue lorsque le département suit, comme dans le cas présent, le préavis des instances spécialisées. En outre, le TAPI a retenu que le projet s'inscrivait dans le sens voulu par le guide pour une densification de qualité de la zone 5. Il a rappelé que le législateur avait précisément souhaité permettre à la zone 5 d'évoluer et de se densifier. Il ne peut qu'être suivi, puisque le projet vise à remplacer une maison d'habitation par neuf villas contigües, étant relevé que la fiche A04 du PDCn 2030 cite parmi les mesures de mise en œuvre des objectifs de densification sans modification de zone de la zone 5 l'utilisation de l’habitat groupé. Le SPI a d'ailleurs relevé dans son préavis favorable sans observation du 15 novembre 2019 que la parcelle en question était sise dans un secteur identifié dans la fiche A04 du PDCn 2030. Enfin, concernant l'application du règlement de construction du 14 novembre 1984, il est exact qu'il a été adopté avant l'entrée en vigueur de la LAT, le 1 er janvier 1980, ce qui devrait lui conférer le principe de la stabilité des plans (art. 21 al. 1 LAT). Néanmoins, comme le relève à juste titre le département, son adoption est antérieure à l'entrée en vigueur de la LaLAT. Ainsi, la procédure imposée par la LAT, notamment l'enquête public (art. 33 al. 1 LAT) n'a pas été mise en application avant son adoption par le Conseil d'État le 14 novembre 1984, le rendant ainsi caduc à l'issue du délai de huit ans fixé à l'art. 35 al. 1 let. b LAT. Au surplus et comme relevé par le TAPI, de très nombreuses dispositions du droit de la construction et de l’aménagement du territoire ont été modifiées depuis lors, notamment dans le but de favoriser une utilisation judicieuse du sol et la densification des zones bâties, ce qui fait perdre à ce type de réglementation sa pertinence, étant relevé que plus le plan est ancien moins on peut compter sur sa stabilité (ATF 120 Ia 227 ). Enfin, il est vrai que le TAPI a retenu que 1'542 m 2 de surfaces des parcelles demeureraient en pleine terre, soit 48,6 % de la surface totale des parcelles concernées (3'174 m 2 ). Le TAPI n'a toutefois pas expliqué comment il avait obtenu le chiffre de 1'542 m 2 . Les recourants ne le détaillent pas plus. Or, il ressort d'un des plans figurant au dossier que la surface brute de plancher (ci-après : SBP) totale du projet est de 1'396.10 m 2 . Sur une surface totale des parcelles concernées de 3'174 m 2 , le ratio de SBP n'en respecte pas moins les 44 % de l’art. 59 al. 4 LCI (1'396.10 m 2 : 3'174 m 2 x 100 = 43,9 %). C'est d'ailleurs ces chiffres qui ont été pris en considération par la DAC dans son préavis favorable avec dérogations du 9 juin 2021. Enfin, les parcelles en cause ne se trouvent pas dans une zone à protéger au sens de l'art. 17 LAT ni au regard des bâtiments érigés sur celles-ci ni par rapport à la flore environnante comme il le sera expliqué ci-dessous. Dans ces conditions, c'est de manière conforme au droit que le TAPI a retenu que le projet contesté respectait l'art. 59 al. 4 LCI. Les griefs sont donc mal fondés.</w:t>
      </w:r>
    </w:p>
    <w:p>
      <w:r>
        <w:rPr>
          <w:b/>
        </w:rPr>
        <w:t>E. 5</w:t>
      </w:r>
    </w:p>
    <w:p>
      <w:r>
        <w:t>Les recourants soutiennent que le projet en sous-sol serait invasif et empiéterait inutilement sur les surfaces en pleine terre. Les places de parking pour personnes handicapées seraient également trop nombreuses. À leur sens, l'art. 59 al. 8, 9 et 10 LCI ne serait pas respecté. ![endif]&gt;![if&gt;</w:t>
      </w:r>
    </w:p>
    <w:p>
      <w:r>
        <w:rPr>
          <w:b/>
        </w:rPr>
        <w:t>E. 5.1</w:t>
      </w:r>
    </w:p>
    <w:p>
      <w:r>
        <w:t>L'art. 59 LCI prévoit que, en cinquième zone de construction, la surface des constructions en sous-sol, exprimée en m 2 de plancher brut, ne doit pas excéder la surface de plancher hors sol qui peut être autorisée (al. 8). Dans tous les cas, la surface du sous-sol, y compris celle du sous-sol des constructions de peu d'importance, ne peut excéder le 20 % de la surface de la parcelle. Cette surface peut être portée à 22 % lorsque la construction est conforme à un standard de HPE, respectivement à 24 % lorsque la construction est conforme à un standard de THPE, reconnue comme telle par le service compétent (al. 9). Le département peut toutefois admettre une surface de sous-sol non comprise dans le calcul du rapport des surfaces, telle que définie aux al. 8 et 9 du présent article, si la construction de garages au sous-sol permet de renoncer à l'édification de constructions de peu d'importance à destination de garages en surface (al. 10).![endif]&gt;![if&gt;</w:t>
      </w:r>
    </w:p>
    <w:p>
      <w:r>
        <w:rPr>
          <w:b/>
        </w:rPr>
        <w:t>E. 5.2</w:t>
      </w:r>
    </w:p>
    <w:p>
      <w:r>
        <w:t>Le RACI est applicable aux nouvelles constructions, permanentes ou provisoires, et aux transformations et rénovations importantes des bâtiments comprenant des logements (art. 1 let. c RACI). ![endif]&gt;![if&gt; Dans les parkings et garages collectifs de moins de 50 places, une case au moins doit être réservée aux conducteurs handicapés (art. 9 al. 1 1 ère phr. RACI).</w:t>
      </w:r>
    </w:p>
    <w:p>
      <w:r>
        <w:rPr>
          <w:b/>
        </w:rPr>
        <w:t>E. 5.3</w:t>
      </w:r>
    </w:p>
    <w:p>
      <w:r>
        <w:t>Selon la doctrine, les voisins ne sont pas libres d’invoquer n’importe quel grief pour justifier de leur qualité pour recourir. Ils ne peuvent en effet se prévaloir d'un intérêt digne de protection à invoquer des dispositions édictées dans l'intérêt général ou dans l'intérêt de tiers que si elles peuvent avoir une influence sur leur situation de fait ou de droit. La jurisprudence a également souligné que le voisin peut être habilité à se prévaloir de normes qui ne sont pas destinées à le protéger si l'admission de son grief est susceptible de lui procurer un avantage pratique. Un recours dont le seul but est de garantir l'application correcte du droit demeure irrecevable, parce qu'assimilable à l'action populaire (François BELLANGER, La qualité pour recourir, in François BELLANGER/Thierry TANQUEREL, Le contentieux administratif, 2013, p. 117-118).![endif]&gt;![if&gt;</w:t>
      </w:r>
    </w:p>
    <w:p>
      <w:r>
        <w:rPr>
          <w:b/>
        </w:rPr>
        <w:t>E. 5.4</w:t>
      </w:r>
    </w:p>
    <w:p>
      <w:r>
        <w:t>En l'occurrence, il ressort du dossier que la surface globale du sous-sol représente 42.73 % de la surface parcellaire. Une dérogation au sens de l'art. 59 al. 10 est donc nécessaire. C'est toutefois justement ce qu'a retenu la DAC dans son préavis, favorable avec dérogations, du 9 juin 2021. En outre, même si la CA a indiqué dans ses préavis des 25 février et 6 octobre 2020 que la surface dévolue au parking et aux dessertes était trop importante et que le sous-sol restait invasif, celle‑ci s'est finalement déclarée favorable au projet après modification. En effet, le 20 novembre 2020, les intimés ont indiqué au département avoir déplacé l'abri PC et réduit l'emprise du sous-sol avec la suppression de deux places de stationnement et de l'escalier d'accès extérieur. ![endif]&gt;![if&gt; S'agissant de la problématique des places de stationnement pour personnes handicapées, il est douteux que les recourants puissent présenter un tel grief dans la mesure où ils ne seront pas, in fine, les utilisateurs du parking en cause. En toute hypothèse, l'art. 9 al. 1 1 ère phr. RACI prévoit un minima si bien que tout constructeur est en droit de prévoir plus de places pour personnes handicapées que ce que prévoit la règlementation applicable. Les griefs sont mal fondés.</w:t>
      </w:r>
    </w:p>
    <w:p>
      <w:r>
        <w:rPr>
          <w:b/>
        </w:rPr>
        <w:t>E. 6</w:t>
      </w:r>
    </w:p>
    <w:p>
      <w:r>
        <w:t>Les recourants considèrent qu'il serait impossible de confirmer le projet litigieux sans violer la nouvelle teneur de l'art. 59 al. 4 let. a LCI et son esprit exprimé par le législateur. ![endif]&gt;![if&gt;</w:t>
      </w:r>
    </w:p>
    <w:p>
      <w:r>
        <w:rPr>
          <w:b/>
        </w:rPr>
        <w:t>E. 6.1</w:t>
      </w:r>
    </w:p>
    <w:p>
      <w:r>
        <w:t>Dans sa teneur actuelle, adoptée le 1 er octobre 2020 et entrée en vigueur le 28 novembre 2020, l’art. 59 al. 4 let. a LCI prévoit que dans les périmètres de densification accrue définis par un plan directeur communal approuvé par le Conseil d’État et lorsque cette mesure est compatible avec le caractère, l’harmonie et l’aménagement du quartier, le département (a) peut autoriser, après la consultation de la commune et de la CA, un projet de construction en ordre contigu ou sous forme d’habitat groupé dont la surface de plancher habitable n’excède pas 44 % de la surface du terrain, 48 % lorsque la construction est conforme à un standard de THPE, reconnue comme telle par le service compétent.![endif]&gt;![if&gt; L'art. 156 al. 5 LCI prévoit que l’art. 59 al. 3bis, 4 et 5 LCI, dans leur teneur du 1 er octobre 2020 s’applique aux demandes d’autorisation déposées après leur entrée en vigueur.</w:t>
      </w:r>
    </w:p>
    <w:p>
      <w:r>
        <w:rPr>
          <w:b/>
        </w:rPr>
        <w:t>E. 6.2</w:t>
      </w:r>
    </w:p>
    <w:p>
      <w:r>
        <w:t>En l'espèce, comme vu ci-dessus, la demande d'autorisation de construire contestée a été déposée le 18 mars 2019, soit à une date antérieure à la modification de l'art. 59 LCI entrée en vigueur le 28 novembre 2020. Les recourants ne peuvent dont pas se prévaloir de cette nouvelle disposition pour contester le projet litigieux. ![endif]&gt;![if&gt; Quant à la nouvelle volonté du législateur de s'opposer à une « densification anarchique » en contradiction avec la volonté des autorités communales, il sera rappelé que la commune a rendu un préavis favorable au projet. Les griefs sont mal fondés.</w:t>
      </w:r>
    </w:p>
    <w:p>
      <w:r>
        <w:rPr>
          <w:b/>
        </w:rPr>
        <w:t>E. 7</w:t>
      </w:r>
    </w:p>
    <w:p>
      <w:r>
        <w:t>Les recourants soutiennent que le projet litigieux serait source d'inconvénients graves en matière de circulation, de sécurité et d'environnement (nuisances visuelles et olfactives des containers enterrés). ![endif]&gt;![if&gt;</w:t>
      </w:r>
    </w:p>
    <w:p>
      <w:r>
        <w:rPr>
          <w:b/>
        </w:rPr>
        <w:t>E. 7.1</w:t>
      </w:r>
    </w:p>
    <w:p>
      <w:r>
        <w:t>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LCI).![endif]&gt;![if&gt;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ATA/372/2020 du 16 avril 2020 consid. 4a et l'arrêt cité). 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ATA/69/2021 du 19 janvier 2021 consid. 5a).</w:t>
      </w:r>
    </w:p>
    <w:p>
      <w:r>
        <w:rPr>
          <w:b/>
        </w:rPr>
        <w:t>E. 7.2</w:t>
      </w:r>
    </w:p>
    <w:p>
      <w:r>
        <w:t>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 ATA/259/2020 du 3 mars 2020 consid. 7b et les arrêts cités).![endif]&gt;![if&gt;</w:t>
      </w:r>
    </w:p>
    <w:p>
      <w:r>
        <w:rPr>
          <w:b/>
        </w:rPr>
        <w:t>E. 7.3</w:t>
      </w:r>
    </w:p>
    <w:p>
      <w:r>
        <w:t>En l'espèce, selon les plans visés ne varietur, 22 places de stationnement sont prévues au sous-sol. L'entrée se fera à l'est, en fin de parcelle n° 2'509.![endif]&gt;![if&gt; Dans son préavis du 9 décembre 2020, l'OCT, instance spécialisée en matière de mobilité et de sécurité routière, n'a émis aucune remarque quant à la sécurité ou à une éventuelle augmentation du trafic, étant rappelé que la loi n'exige pas une telle motivation ( ATA/638/2020 du 30 juin 2020 consid. 4e) et qu'un préavis sans observation est considéré comme un préavis favorable ( ATA/1276/2018 du 27 novembre 2018 consid. 4d). Par ailleurs, le projet consiste en la construction de neuf villas contigües, si bien qu'il ne saurait être d'emblée considéré que ces nouvelles constructions engendreront une augmentation de trafic conséquente. La voie d'accès débouche sur le chemin N______ qui est un réseau communal secondaire de bonne largeur permettant le croisement de véhicules (6.2 m maximum selon les données du SITG). Il est de plus rectiligne permettant ainsi de voir les voitures ou les piétons qui s'y trouveraient pour se rendre à la gare par exemple. Enfin, si l'augmentation du nombre de résidents devait engendrer un accroissement de la circulation, il resterait insignifiant et ne saurait être considéré comme une source de nuisances importantes liée au trafic et resterait ainsi compatible avec les caractéristiques de la zone. Quant à la problématique des containers, ceux-ci seront enterrés à l'ouest de la parcelle n° 2'509, en limite de propriété et en bordure de route du chemin N______. Le plan de masse précise que le nombre et le type de bennes enterrées seront à déterminer avec la commune. Outre le fait que les recourants se trouvent à relativement bonne distance de la future « déchetterie », le fait que les bennes soient enterrées permettra de pallier les éventuels risques de gênes visuelles et/ou olfactives, étant précisé que le SABRA, dans ses différents préavis, n'a rien relevé de problématique à ce sujet. Enfin, la question soulevée apparaît prématurée dans la mesure où le nombre et le type de bennes seront discutées avec la commune et que la question des déchets doit encore faire l'objet d'une autorisation de construire spécifique pour des bennes à ordures enterrées ( ATA/95/2022 du 1 er février 2022 consid. 10). Les griefs sont infondés.</w:t>
      </w:r>
    </w:p>
    <w:p>
      <w:r>
        <w:rPr>
          <w:b/>
        </w:rPr>
        <w:t>E. 8</w:t>
      </w:r>
    </w:p>
    <w:p>
      <w:r>
        <w:t>Les recourants estiment que le principe de précaution ne serait pas respecté au regard de l'emplacement des PAC, projetées sur les toitures.![endif]&gt;![if&gt;</w:t>
      </w:r>
    </w:p>
    <w:p>
      <w:r>
        <w:rPr>
          <w:b/>
        </w:rPr>
        <w:t>E. 8.1</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Les atteintes qui pourraient devenir nuisibles ou incommodantes seront réduites à titre préventif et assez tôt (art. 1 al. 2).![endif]&gt;![if&gt; Par atteintes, on entend les pollutions atmosphériques, le bruit, les vibrations, les rayons, les pollutions des eaux et les autres interventions dont elles peuvent faire l'objet, les atteintes portées au sol, les modifications du patrimoine génétique d'organismes ou de la diversité biologique, qui sont dus à la construction ou à l'exploitation d'installations, à l'utilisation de substances, d'organismes ou de déchets ou à l'exploitation des sols (art. 7 al. 1 LPE). Les pollutions atmosphériques, le bruit, les vibrations et les rayons sont dénommés émissions au sortir des installations, immissions au lieu de leur effet (art. 7 al. 2 LPE). L'art. 11 LPE dispose que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Selon l'art. 12 LPE, les émissions sont notamment limitées par l'application des valeurs limites d'émissions (al. 1 let. a). Les limitations figurent dans des ordonnances ou, pour les cas que celles-ci n'ont pas visés, dans des décisions fondées directement sur la LPE (al. 2). Le Conseil fédéral édicte par voie d'ordonnance des valeurs limites d'immissions applicables à l'évaluation des atteintes nuisibles ou incommodantes art. 13 al. 1 LPE). Les valeurs limites d'immissions s'appliquant au bruit et aux vibrations sont fixées de manière que, selon l'état de la science et l'expérience, les immissions inférieures à ces valeurs ne gênent pas de manière sensible la population dans son bien-être (art. 15 LPE). De nouvelles installations fixes ne peuvent être construites que si les immissions causées par le bruit de ces seules installations ne dépassent pas les valeurs de planification dans le voisinage ; l'autorité qui délivre l'autorisation peut exiger un pronostic de bruit (art. 25 al. 1 LPE).</w:t>
      </w:r>
    </w:p>
    <w:p>
      <w:r>
        <w:rPr>
          <w:b/>
        </w:rPr>
        <w:t>E. 8.2</w:t>
      </w:r>
    </w:p>
    <w:p>
      <w:r>
        <w:t>L'OPB a pour but de protéger contre le bruit nuisible ou incommodant (art. 1 al. 1). Elle régit, entre autres, la limitation des émissions de bruit extérieur produites par l'exploitation d'installations nouvelles ou existantes au sens de l'art. 7 de la LPE (art. 1 al. 2 let. a).![endif]&gt;![if&gt; L'art. 2 OPB prévoit que les installations fixes sont les constructions, les infrastructures destinées au trafic, les équipements des bâtiments et les autres installations non mobiles dont l'exploitation produit du bruit extérieur (al. 1 1 ère phr.).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 Elles sont destinées à empêcher ou à réduire la formation ou la propagation du bruit extérieur (al. 3). Les valeurs limites d'exposition sont des valeurs limites d'immission, des valeurs de planification et des valeurs d'alarme. Elles sont fixées en fonction du genre de bruit, de la période de la journée, de l'affectation du bâtiment et du secteur à protéger (al. 5). Les locaux à usage sensible au bruit sont notamment les pièces des habitations, à l'exclusion des cuisines sans partie habitable, des locaux sanitaires et des réduits. Selon l'art. 7 al. 1 OPB, les émissions de bruit d'une nouvelle installation fixe seront limitées conformément aux dispositions de l'autorité d'exécution : dans la mesure où cela est réalisable sur le plan de la technique et de l'exploitation et économiquement supportable, et (let. a) de telle façon que les immissions de bruit dues exclusivement à l'installation en cause ne dépassent pas les valeurs de planification (let. b). Les immissions de bruit sont déterminées sous forme de niveau d'évaluation Lr ou de niveau maximum Lmax sur la base de calculs ou de mesures (art. 38 al. 1 OPB). Pour les bâtiments, les immissions de bruit seront déterminées au milieu de la fenêtre ouverte des locaux à usage sensible au bruit. Les immissions de bruit des avions peuvent aussi être déterminées à proximité des bâtiments (art. 39 al. 1 OPB). À teneur de l'art. 40 al. 1 OPB, l'autorité d'exécution évalue les immissions de bruit extérieur produites par les installations fixes sur la base des valeurs limites d'exposition selon les annexes 3 et suivantes. Les valeurs limites d'exposition sont valables pour les bâtiments comprenant des locaux à usage sensible au bruit (art. 41 al. 1 OPB). L'art. 43 al. 1 let. b OPB dispose que le degré de sensibilité II est à appliquer dans les zones où aucune entreprise gênante n'est autorisée, notamment dans les zones d'habitation ainsi que celles réservées à des constructions et installations publiques. Pour le bruit produit par les installations de chauffage, de ventilation et de climatisation dans une zone où s'applique le degré de sensibilité II, l'annexe 6 de l'OPB fixe la valeur de planification Lr à 55 dB(A) de jour et 45 dB(A) de nuit. La valeur limite d'immission est de Lr 60 dB(A) de jour et de Lr 50 dB(A) de nuit.</w:t>
      </w:r>
    </w:p>
    <w:p>
      <w:r>
        <w:rPr>
          <w:b/>
        </w:rPr>
        <w:t>E. 8.3</w:t>
      </w:r>
    </w:p>
    <w:p>
      <w:r>
        <w:t>En l'espèce, comme retenu par le TAPI, les PAC litigieuses sont des installations fixes prévues sur les toitures de bâtiments sis en 5 ème zone, où le DS II s'applique.![endif]&gt;![if&gt; Dans son préavis du 19 octobre 2020, le SABRA a indiqué que les formulaires pour PAC avaient été remplis correctement et que le niveau d'émission sonore avait été calculé en prenant en compte de la contribution des dix PAC au droit du récepteur sensible le plus proche (______), ce qui était correct. Le calcul du niveau d'évaluation sonore montrait, que pour autant que les exigences d'installation du constructeur soient suivies, la valeur de planification serait satisfaite. Par conséquent, les exigences de l'art. 7 OPB seraient satisfaites pour les PAC. Il pouvait y avoir une génération de bruit, notamment solidien, si les appareils n'étaient pas installés conformément aux exigences du constructeur. Le maître d'ouvrage devrait s'assurer du respect de l'installation des appareils selon les exigences du constructeur. Selon les pièces du dossier, les PAC sont de modèle Ultrasouce B compact C. Les formulaires complétés, sur lesquels le SABRA a fondé son préavis, indiquent que la valeur de planification de 45 db(A) est respectée pour chacune des dix villas (nombre réduit à neuf par la suite). Le niveau d'évaluation Lr se situerait entre 22.4 db(A) et 36.9 db(A), respectant ainsi la valeur de planification la plus basse de 45 db(A). Les recourants ne contestent pas les données contenues dans ces formulaires. Il est vrai que le manuel des PAC, modèle Ultrasouce B compact C, indique que le lieu de l'installation doit être choisi de sorte qu'aucune pièce d'habitation ni chambre à coucher ne se trouve dans la zone des émissions sonores. Une installation « côté bruit » sur la rue s'est souvent avérée être idéale. Toutefois, comme cela ressort des formulaires précités, la case « oui » relative à la prise en compte du principe de prévention a bien été cochée, de sorte que rien ne permet de retenir que ce principe n'aurait pas été pris en considération par le SABRA dans le cadre de l'examen du lieu projeté pour installer les PAC. Dès lors à ce stade, aucun élément ne permet de retenir que le département se serait basé sur un préavis incomplet concernant l'installation des PAC. S'il devait être constaté que les PAC, une fois mises en place, engendraient des nuisances sonores dépassant ce qui est admissible, le département serait fondé à prendre d'éventuelles mesures, sur la base d'un constat concret effectué lors d'une inspection locale, pour y remédier (arrêt du Tribunal fédéral 1A.322/2000 du 1 er juin 2001 consid. 3d ; ATA/685/2022 du 28 juin 2022 consid. 8), en faisant notamment intervenir le SABRA. Par conséquent, les craintes des recourants liées aux éventuelles nuisances sonores qui découleraient de la PAC apparaissent en l'état prématurées. Le grief sera en conséquence rejeté.</w:t>
      </w:r>
    </w:p>
    <w:p>
      <w:r>
        <w:rPr>
          <w:b/>
        </w:rPr>
        <w:t>E. 9</w:t>
      </w:r>
    </w:p>
    <w:p>
      <w:r>
        <w:t>Les recourants soutiennent que l'abattage des arbres projeté ne respecterait pas la législation applicable en la matière. ![endif]&gt;![if&gt;</w:t>
      </w:r>
    </w:p>
    <w:p>
      <w:r>
        <w:rPr>
          <w:b/>
        </w:rPr>
        <w:t>E. 9.1</w:t>
      </w:r>
    </w:p>
    <w:p>
      <w:r>
        <w:t>Selon l'art. 3 al. 2 let. d LAT, le paysage doit être préservé. Il convient notamment de conserver les sites naturels et les territoires servant au délassement. ![endif]&gt;![if&gt; Conformément à l’art. 3 de la loi fédérale sur la protection de la nature et du paysage du 1 er juillet 1966 (LPN - RS 451), 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(al. 1). Ils s’acquittent de ce devoir, notamment, en attachant des charges ou des conditions aux autorisations et aux concessions, ou en refusant celles-ci (al. 2 let. a ; art. 2 let. b). Ce devoir existe quelle que soit l’importance de l’objet au sens de l’art. 4. Une mesure ne doit cependant pas aller au-delà de ce qu’exige la protection de l’objet et de ses environs (al. 3). La LPMNS a notamment pour but d'assurer la sauvegarde de la nature, en ménageant l'espace vital nécessaire à la flore et à la faune, et en maintenant les milieux naturels (art. 1 let. c). À teneur de l'art. 36 al. 1 LPMNS, le Conseil d'État édicte les dispositions nécessaires à la protection, la conservation et l'aménagement des sites visés à l'art. 35 LPMNS, soit notamment les espèces végétales. Il peut n’autoriser que sous condition ou même interdire l'abattage, l’élagage ou la destruction de certaines essences d’arbres, de cordons boisés, de boqueteaux, buissons ou de haies vives (art. 36 al. 2 let. a LPMNS).</w:t>
      </w:r>
    </w:p>
    <w:p>
      <w:r>
        <w:rPr>
          <w:b/>
        </w:rPr>
        <w:t>E. 9.2</w:t>
      </w:r>
    </w:p>
    <w:p>
      <w:r>
        <w:t>En application de cette disposition, le Conseil d'État a adopté le règlement sur la conservation de la végétation arborée du 27 octobre 1999 (RCVA - L 4 05.04), qui a pour but d'assurer la conservation, à savoir la protection, le maintien et le renouvellement, de la végétation formant les éléments majeurs du paysage (art. 1 RCVA). Il est notamment applicable aux arbres situés en dehors de la forêt, telle que définie à l'art. 2 de la loi sur les forêts du 20 mai 1999 (LForêts - M 5 10), ainsi qu'aux haies vives et boqueteaux présentant un intérêt biologique ou paysager (art. 2 al. 1 RCVA).![endif]&gt;![if&gt; Selon l’art. 3 al. 1 RCVA, aucun arbre ne peut être abattu ou élagué, ni aucune haie vive ou aucun boqueteau coupé ou défriché, sans autorisation préalable du département, sous réserve de l’al. 2, non pertinent en l'occurrence. En application de l'art. 14 RCVA, les propriétaires, mandataires, requérants, constructeurs ou autres usagers de terrains sont tenus de veiller avec la plus grande attention à la préservation des arbres, haies vives et boqueteaux existants (al. 1). Il leur incombe de prendre, notamment lors de travaux, toutes précautions utiles pour assurer la survie des arbres, haies vives et boqueteaux, en se conformant aux directives édictées par le département (al. 2 let. b). À teneur de l’art. 15 RCVA, l'autorisation d'abattage d'arbres ou de défrichage de haies vives et de boqueteaux est assortie, en principe, de l'obligation de réaliser des mesures compensatoires (al. 1). Une valeur de remplacement est attribuée aux végétaux dont l'abattage ou le défrichage est autorisé (al. 2). Le département exige des sûretés suffisantes, visant à assurer l'exécution des compensations, lorsque la valeur fixée à l'al. 2 atteint ou dépasse CHF 20'000.-, ou lorsque le propriétaire des végétaux n'est pas domicilié en Suisse. Ces sûretés doivent parvenir au département avant l'exécution des abattages ou défrichages autorisés (al. 3). L’art. 16 RCVA dispose que le département édicte des directives en matière de sauvegarde des végétaux maintenus, de leur mise en valeur et de l’exécution correcte des mesures compensatoires. Selon les art. 1, 4, 16 et 17 RCVA en lien avec les art. 7, 9 et 10B du règlement d’application de la loi sur les constructions et les installations diverses du 27 février 1978 (RCI - L 5 05.01), un plan d'aménagement paysager (ci-après : PAP) est imposé par l’autorité compétente dans le cas de construction à proximité d’arbres conservés ou de fort impact sur la végétation existante.</w:t>
      </w:r>
    </w:p>
    <w:p>
      <w:r>
        <w:rPr>
          <w:b/>
        </w:rPr>
        <w:t>E. 9.3</w:t>
      </w:r>
    </w:p>
    <w:p>
      <w:r>
        <w:t>La directive d'août 2008 concernant la conservation des arbres (ci-après : la directive) précise les règles décisionnelles en matière de conservation du patrimoine arboré et vise à assurer la protection des arbres en place et simultanément le renouvellement du patrimoine arboré (art. 1 de la directive). La décision de maintenir un arbre est prise lorsque l’intérêt de maintien prime sur les motifs d’abattage. La décision d'abattage est prise seulement si des motifs valables empêchent le maintien de l'arbre (art. 2 de la directive). Les critères de maintien sont évalués en relation directe avec l'espèce par une personne qualifiée du département du territoire (art. 2.1 de la directive).![endif]&gt;![if&gt; Les art. 2.1.1 à 2.1.4 de la directive énumèrent lesdits critères, à savoir : la beauté et l’intérêt du sujet (élément majeur du paysage, arbre remarquable, intérêt écologique), son état sanitaire (vigueur, absence de maladies, de blessures, qualité statique, couronne et charpente équilibrées) et son espérance de vie (potentialités de développement futur, espace disponible, conditions environnementales), ainsi que d’autres cas (impossibilité de compenser et de renouveler, maintien d’un espace plantable, situations particulières). Les directives sont des ordonnances administratives dont les destinataires sont ceux qui sont chargés de l'exécution d'une tâche publique, et non les administrés. Elles ne sont pas publiées dans le recueil officiel de la collectivité publique et ne peuvent donc avoir pour objet la situation juridique de tiers (Pierre MOOR/Alexandre FLÜCKIGER/Vincent MARTENET, Droit administratif, vol. I, 3 ème éd., 2012, ch. 2.8.3.1). L'ordonnance administrative ne lie pas le juge, mais celui-ci la prendra en considération, surtout si elle concerne des questions d'ordre technique, mais s'en écartera dès qu'il considère que l'interprétation qu'elle donne n'est pas conforme à la loi ou à des principes généraux ( ATA/552/2013 du 27 août 2013 consid. 4d).</w:t>
      </w:r>
    </w:p>
    <w:p>
      <w:r>
        <w:rPr>
          <w:b/>
        </w:rPr>
        <w:t>E. 9.4</w:t>
      </w:r>
    </w:p>
    <w:p>
      <w:r>
        <w:t>En l'occurrence, l'OCAN, instance compétente dans ce domaine et qui est le mieux à même de prendre en considération tous les paramètres spécifiques, s'est déclaré favorable au projet sous conditions. Il n'a rien souligné de particulier par rapport aux arbres, haies vives ou boqueteaux existants, notamment quant aux arbres de plus de 10 m ou le noyer ayant une circonférence de plus de 2 m. Il a néanmoins conditionné son préavis notamment à ce que toutes précautions utiles soient prises afin de conserver valablement les arbres situés à proximité des travaux. La rampe doit être réalisée sans décaissement dans le domaine vital (aplomb de la couronne, plus 1 m) de l'arbre situé en limite de la parcelle n° 2'510. Par ailleurs, l'image paysagère doit être conforme à celle du plan de masse du 16 septembre 2020 en intégrant les essences proposées dans le PAP n° 1'907 de juin 2020. Selon ce document, 20 arbres seront abattus (d'une valeur totale de CHF 73'779.-), tandis que deux arbres seront conservés. Un total de 113 arbustes et 19 nouveaux arbres seront plantés pour un montant de CHF 74'377.17. Cinq types d'espèces sont proposées pour les arbustes et six pour les arbres. ![endif]&gt;![if&gt; Outre le fait qu'il ne ressort ni du dossier ni de la consultation du SITG que les arbres à abattre seraient des arbres dignes d'être protégés, la référence au PAP précité dans le cadre du préavis favorable sous conditions du 6 octobre 2020 de l'OCAN démontre que cette instance a pris en considération tous les éléments pour se déterminer. Les recourants ne peuvent dès lors être suivis lorsqu'ils soutiennent qu'aucune mesure concrète n'a été proposée pour le projet. Par ailleurs, le préavis liant pour les arbres hors forêt du 8 avril 2019 précise qu'une garantie bancaire de CHF 55'000.- doit être fournie à l'OCAN 30 jours avant l'abattage des arbres et l'ouverture du chantier. C'est à ce moment-là que pourra être retourné le modèle de garantie de bonne exécution annexé au préavis de l'OCAN. Compte tenu de ces éléments, le département, en suivant les préavis de l’OCAN, n'a pas excédé ou mésusé de son pouvoir d'appréciation. À cet égard, il sera encore rappelé la retenue dont doivent faire preuve les autorités de recours afin d’éviter de substituer leur propre appréciation à celle des commissions de préavis, qui disposent des connaissances techniques, pour autant que l’autorité inférieure suive l’avis de celles-ci, ce qui est les cas du projet litigieux. Dans ces conditions, le grief de violation de la législation sur la protection de la nature et du paysage et des prescriptions du RCVA doit être écarté.</w:t>
      </w:r>
    </w:p>
    <w:p>
      <w:r>
        <w:rPr>
          <w:b/>
        </w:rPr>
        <w:t>E. 10</w:t>
      </w:r>
    </w:p>
    <w:p>
      <w:r>
        <w:t>Les intimés concluent à la condamnation des recourants à une amende pour téméraire plaideur. ![endif]&gt;![if&gt;</w:t>
      </w:r>
    </w:p>
    <w:p>
      <w:r>
        <w:rPr>
          <w:b/>
        </w:rPr>
        <w:t>E. 10.1</w:t>
      </w:r>
    </w:p>
    <w:p>
      <w:r>
        <w:t>Selon l'art. 88 LPA, la juridiction administrative peut prononcer une amende à l’égard de celui dont le recours, l’action, la demande en interprétation ou en révision est jugée téméraire ou constitutive d’un emploi abusif des procédures prévues par la loi (al. 1). L’amende n’excède pas CHF 5'000.- (al. 2).![endif]&gt;![if&gt;</w:t>
      </w:r>
    </w:p>
    <w:p>
      <w:r>
        <w:rPr>
          <w:b/>
        </w:rPr>
        <w:t>E. 10.2</w:t>
      </w:r>
    </w:p>
    <w:p>
      <w:r>
        <w:t>Conformément à la jurisprudence constante de la chambre de céans, les conclusions des parties à cet égard sont irrecevables ( ATA/439/2022 du 26 avril 2022 consid. 12a et les références citées) et il n'existe en l'occurrence pas de motifs justifiant le prononcé d'une telle amende.![endif]&gt;![if&gt; Dans ces circonstances, les recours contre le jugement du TAPI, entièrement mal fondés, seront rejetés.</w:t>
      </w:r>
    </w:p>
    <w:p>
      <w:r>
        <w:rPr>
          <w:b/>
        </w:rPr>
        <w:t>E. 11</w:t>
      </w:r>
    </w:p>
    <w:p>
      <w:r>
        <w:t>Vu l'issue du litige, un émolument de CHF 2'000.- sera mis à la charge solidaire des recourants, qui succombent (art. 87 al. 1 LPA). Une indemnité de procédure de CHF 2'000.- sera allouée aux intimés, à la charge solidaire des recourants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