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A/3257/2019 vom 2. März 2022</w:t>
      </w:r>
    </w:p>
    <w:p>
      <w:r>
        <w:t>GE Cour de justice, 2022-03-02, FR</w:t>
      </w:r>
    </w:p>
    <w:p>
      <w:r>
        <w:rPr>
          <w:b/>
        </w:rPr>
        <w:t xml:space="preserve">Quelle: </w:t>
      </w:r>
      <w:r>
        <w:t>https://mcp.opencaselaw.ch/entscheid/ge_gerichte_A_3257_2019</w:t>
      </w:r>
    </w:p>
    <w:p>
      <w:r>
        <w:t>FR: GE_GERICHTE A/3257/2019 du 2 mars 2022</w:t>
      </w:r>
    </w:p>
    <w:p>
      <w:r>
        <w:t>IT: GE_GERICHTE A/3257/2019 del 2 marzo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Interjeté en temps utile, le recours est recevable (art. 60 LPGA).![endif]&gt;![if&gt;</w:t>
      </w:r>
    </w:p>
    <w:p>
      <w:r>
        <w:rPr>
          <w:b/>
        </w:rPr>
        <w:t>E. 3</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ci-après dans leur ancienne teneur.</w:t>
      </w:r>
    </w:p>
    <w:p>
      <w:r>
        <w:rPr>
          <w:b/>
        </w:rPr>
        <w:t>E. 4</w:t>
      </w:r>
    </w:p>
    <w:p>
      <w:r>
        <w:t>Le litige porte sur le droit du recourant à une rente d’invalidité au-delà du 31 juillet 2018.![endif]&gt;![if&gt;</w:t>
      </w:r>
    </w:p>
    <w:p>
      <w:r>
        <w:rPr>
          <w:b/>
        </w:rPr>
        <w:t>E. 5</w:t>
      </w:r>
    </w:p>
    <w:p>
      <w:r>
        <w:t>![endif]&gt;![if&gt;</w:t>
      </w:r>
    </w:p>
    <w:p>
      <w:r>
        <w:rPr>
          <w:b/>
        </w:rPr>
        <w:t>E. 5.1</w:t>
      </w:r>
    </w:p>
    <w:p>
      <w:r>
        <w:t>Sur le plan orthopédique, le recourant a indiqué lors de l’audience du 17 juin 2020 que son état de santé s’était amélioré depuis deux ou trois mois et qu’il pourrait travailler actuellement à 50% dans une activité adaptée à ses limitations fonctionnelles. L’intimé a retenu dans la décision querellée que le recourant était capable de travailler à 100% dans une activité adaptée dès le 22 janvier 2018, sur la base d’un rapport du SMR du 24 janvier 2019, qui retenait cette date au motif que c’était trois mois après l’arthroscopie que le recourant avait subie à l’épaule gauche le 31 octobre 2017. Suite au recours, l’intimé a modifié sa position et retenu, sur la base de l’expertise du Dr F______, que le recourant était totalement capable de travailler dans une activité adaptée dès le 22 avril 2018, soit 6 mois après son opération subie, de sorte que celui-ci avait droit à une rente d’invalidité entière jusqu’au 31 juillet 2018, et non jusqu’au 31 mars 2018, comme retenu dans la décision du 12 juin 2019. Dans son rapport d’expertise du 11 décembre 2020, le Dr H______ a fixé le début d’une capacité de travail entière dans une activité adaptée au mois d’octobre 2018. Ce n’est pas parce que cette expertise a été effectuée dans le cadre de la procédure LAA qu’elle ne peut pas être utilisée dans la procédure LAI, dès lors qu’elle porte sur les mêmes faits et la même problématique médicale. Le Dr H______ a justifié sa position en raison des différents documents attestant de la clinique et de la symptomatologie de l’assuré dans le courant de l’année 2018, faisant valoir que la mobilité de l’épaule de l’assuré s’était améliorée entre les constats faits par le Dr F______ dans son rapport du 8 août 2018 et ceux du Dr G______, qui indiquait dans son rapport du 23 octobre 2018, il n’y avait plus de capsulite rétractile, que les amplitudes des rotations s’étaient améliorées et que l’assuré ne prenait plus aucun antalgique. Dans ce sens, il semblait juste au Dr H______ que la date de stabilisation soit arrêtée au mois d’octobre 2018. Le recourant estime que le Dr H______ disposait de données cliniques et symptomatologiques plus détaillées que le Dr F______ et que sa détermination de la date de stabilisation devait se voir reconnaître plus de valeur probante. Le 26 novembre 2021, l’intimé a indiqué que dans un avis du 26 novembre 2021, le SMR considérait qu’une aptitude à la réadaptation ne pouvait être conditionnée à une pleine récupération des amplitudes maximales des articulations, de sorte qu’il maintenait sa position.</w:t>
      </w:r>
    </w:p>
    <w:p>
      <w:r>
        <w:rPr>
          <w:b/>
        </w:rPr>
        <w:t>E. 5.2.1</w:t>
      </w:r>
    </w:p>
    <w:p>
      <w:r>
        <w:t>Dans l'assurance-invalidité, l'invalidité est survenue dès qu'elle est, par sa nature et sa gravité, propre à ouvrir droit aux prestations entrant en considération. Pour déterminer le droit à une rente d'invalidité, il faut ainsi examiner si les conditions de l'art. 28 al. 1 LAI sont remplies. Contrairement à l'assurance-invalidité, l'assurance-accidents est, quant à elle, chargée du traitement de l'atteinte à la santé (cf. art. 10 LAA) et le droit à une rente de cette assurance ne dépend pas de la durée d'une 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 capacité de gain des assurés bien avant (arrêt du Tribunal fédéral 8C_239/2020 du 19 avril 2021 consid. 8.2). En vertu de son obligation de réduire le dommage, il incombe à l'assuré de mettre sa capacité de gain à profit dès que cela est médicalement exigible. Tel est le cas du point de vue de l’assurance-invalidité, par exemple pour un recourant se trouvant en mesure d'occuper à plein temps une activité lucrative adaptée à l'état non entièrement stabilisé de ses genoux (arrêt du Tribunal fédéral 9C_423/2019 du 23 janvier 2020 consid. 6.1).</w:t>
      </w:r>
    </w:p>
    <w:p>
      <w:r>
        <w:rPr>
          <w:b/>
        </w:rPr>
        <w:t>E. 5.2.2</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5.2.3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5.3</w:t>
      </w:r>
    </w:p>
    <w:p>
      <w:r>
        <w:t>. En l’espèce, tant les Drs F______ que H______, deux spécialistes en chirurgie orthopédique, ont retenu, sur la base d’expertises, que le recourant pouvait travailler à 100% dans une activité adaptée à ses limitations fonctionnelles dès 2018. Leurs conclusions ne divergent que sur la date à partir de laquelle cette capacité pouvait être exigée. Seule la Dresse E______ estime que le recourant est resté totalement incapable de travailler. Ses conclusions ne sont toutefois pas à même de remettre en cause celles des deux experts précités sur le plan orthopédique, dès lors qu’elle n’est pas spécialisée dans ce domaine et qu’elle prenait en compte une atteinte psychiatrique. S’agissant de la date du début de l’exigibilité d’une pleine capacité de travail dans une activité adaptée, elle dépend, du point de vue de l’assurance-invalidité, du moment à partir duquel l'assuré peut mettre sa capacité de gain à profit sur le plan médical, même si son état de santé n’est pas stabilisé. Tel était déjà le cas le 22 janvier 2018, selon le Dr F______, soit six mois après l’opération subie par le recourant. Les conclusions du Dr H______, fondées notamment sur les améliorations constatées par le Dr G______ le 23 octobre 2018, ne sont pas déterminantes, car il n’en ressort pas que le recourant n’était pas déjà capable de travailler dans une activité adaptée à ses limitations fonctionnelles dès le 22 janvier 2018. Les faits sont ainsi suffisamment instruits sur le plan orthopédique et il convient de retenir que le recourant était totalement capable de travailler dans une activité adaptée dès le 22 janvier 2018, comme l’admet l’intimé.</w:t>
      </w:r>
    </w:p>
    <w:p>
      <w:r>
        <w:rPr>
          <w:b/>
        </w:rPr>
        <w:t>E. 6.1</w:t>
      </w:r>
    </w:p>
    <w:p>
      <w:r>
        <w:t>Le recourant a fait valoir que l’intimé a rendu la décision querellée sans tenir compte du fait qu’il avait développé suite à l’accident un état anxio-dépressif majeur réactionnel devenu progressivement chronique et que pour soulager ses douleurs et son angoisse, il consommait quotidiennement du cannabis, selon l’attestation de la Dresse E______ du 2 septembre 2019. Cumulées aux problèmes orthopédiques et à ses douleurs constantes, ses difficultés conduisaient la Dresse E______ à le considérer comme totalement incapable de travailler dans toutes activités, selon son rapport du 2 septembre 2019. L’intimé a fait valoir que le rapport médical de la Dresse E______ du 2 septembre 2019 était postérieur à la décision litigieuse et que ce médecin n’avait jamais indiqué dans ses précédents rapports médicaux que le recourant présentait une atteinte psychiatrique, notamment dans son rapport du 22 janvier 2018. À aucun moment au cours de l’instruction, il n’avait été question d’une atteinte à la santé psychique pouvant avoir une influence sur la capacité de travail du recourant. De plus, dans son rapport du 18 août 2017, le Dr C______ avait indiqué clairement qu’il n’existait pas de trouble psychiatrique dont la gravité nécessiterait une prise en charge psychiatrique.</w:t>
      </w:r>
    </w:p>
    <w:p>
      <w:r>
        <w:rPr>
          <w:b/>
        </w:rPr>
        <w:t>E. 6.2.1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6.2.2</w:t>
      </w:r>
    </w:p>
    <w:p>
      <w:r>
        <w:t>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6.2.3</w:t>
      </w:r>
    </w:p>
    <w:p>
      <w:r>
        <w:t>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Par ailleurs, le Tribunal fédéral avait retenu que l’assuré menacé d’une suppression de rente et qui, dans ce cadre, alléguait une mise en danger de son existence en présentant par exemple une grande nervosité, un abattement patent, un désespoir profond, un désir de mort passif, une dépression de degré moyen etc. n’étaient pas, à ce stade, des symptômes pertinents en droit de l’assurance-invalidité (arrêt du Tribunal fédéral 9C_953/2012 du 5 avril 2013, consid. 3.1).</w:t>
      </w:r>
    </w:p>
    <w:p>
      <w:r>
        <w:rPr>
          <w:b/>
        </w:rPr>
        <w:t>E. 7.1</w:t>
      </w:r>
    </w:p>
    <w:p>
      <w:r>
        <w:t>En l’espèce, si l’intimé n’a pris connaissance des problèmes psychiques du recourant pour la première fois que suite au recours de celui-ci contre sa décision du 8 juillet 2019, à l’appui duquel le rapport médical de la Dresse E______ du 2 septembre 2019, qui en faisait état, était produit, il faut constater que cette dernière avait déjà noté que le recourant souffrait d’un état dépressif majeur réactionnel le 10 octobre 2018, selon le rapport du même jour adressé à la caisse nationale suisse d’assurance en cas d’accidents (ci-après : la SUVA), soit avant la décision de l’OAI du 8 juillet 2019. Dans son rapport du 18 août 2017, le Dr C______ a simplement répondu « non » à la question de savoir si en cas de troubles psychiques, leur gravité nécessiterait une prise en charge psychiatrique. Cette appréciation non motivée et émanant d’un spécialiste en orthopédie ne suffit pas à exclure que le recourant souffrait d’une atteinte psychique au moment de la décision querellée. Dans l’expertise du Dr F______ du 8 août 2018, il est fait mention du diagnostic de consommation chronique de cannabis, sans influence sur la capacité de travail. L’expert indiquait, à la question relative à l’état psychologique du recourant, qu’il n’était pas expert dans la santé mentale et qu’il ne pouvait donc pas se prononcer sur cette question, mais que l’expertisé lui avait indiqué avoir un moral très bas, car il s’ennuyait et avait des problèmes d’argent. Le recourant a notamment déclaré à la chambre de céans, lors d’une audience du 17 juin 2020, que suite à l’accident, il avait eu des douleurs très fortes et se sentait angoissé. Maintenant, il se sentait beaucoup mieux, même si parfois, il se sentait encore angoissé et triste parce qu’il n’avait pas d'occupation. Il n’avait pas eu besoin d'aller consulter en raison de ses angoisses, un autre médecin que la Dresse E______, qu’il voyait régulièrement depuis l'accident et même avant. Il lui disait qu’il était angoissé et pas bien dans sa tête. C'était juste après l'accident et suite à son licenciement six mois après. L'angoisse était liée aux douleurs et aux difficultés pour dormir à cause de son épaule. La Dresse E______ ne lui avait pas proposé de traitement. Il fumait tous les jours du cannabis depuis environ 40 ans et cela le soulageait à tous les niveaux. Il avait peur des antidouleurs. Il pensait qu’on lui en avait proposés, mais il n’en avait pas besoin, car il fumait tous les jours du cannabis. Il se sentait mieux au niveau des douleurs depuis quelques mois, mais l'angoisse persistait. Les rapports du Dr F______ et de la Dresse E______ ainsi que les déclarations du recourant à la chambre de céans laissent penser que le recourant pouvait souffrir d’une atteinte psychique en 2018, quand bien même ces deux médecins ne sont pas psychiatres. L’argument de l’intimé selon lequel les troubles en réaction à une décision négative de l’assurance-invalidité pouvaient être traités médicalement de manière adéquate et qu’il ne pouvait en découler de handicap psychique invalidant, n’apparaît pas convaincant. Vu la teneur du rapport de la Dresse E______ du 10 octobre 2018, il semble en effet plus probable que le terme réactionnel qu’elle utilisait se rapportait aux douleurs chroniques invalidantes de l’épaule gauche, qu’à une décision négative d’une assurance, étant de plus relevé qu’à cette date, la seule décision négative reçue par l’assuré était la décision de la SUVA du 12 mai 2017, qui avait fait l’objet d’une opposition, mais pas encore d’une décision sur opposition, et que le recourant n’avait pas encore reçu le projet de décision ni la décision de l’intimé. Cela étant, il faut constater que si atteinte psychique il y avait, celle-ci n’atteignait manifestement pas un degré de gravité suffisant pour la considérer incapacitante, au vu des indicateurs du Tribunal fédéral. En effet, s’il a ressenti des angoisses après son accident, le recourant n’a pas éprouvé le besoin d'aller consulter un psychiatre, ni de prendre des antidépresseurs, préférant fumer du cannabis, ce qu’il fait quotidiennement depuis environ 40 ans, sans que cela semble lui avoir posé problème. Il a en outre indiqué à la chambre de céans que ce n’était pas les angoisses qui l'empêchaient de travailler et qu’au contraire, cela lui ferait plutôt du bien de travailler à ce niveau-là. Il ressort en outre de ses déclarations qu’il peut aller marcher deux fois par jour pendant une heure, faire les courses et préparer les repas pour sa famille. Certes, il déclare ne pas rencontrer d'amis ou d'anciens collègues, mais il va toutefois parfois jouer au billard et entretient de bons rapports avec sa femme et sa fille. Il s’occupe parfois de ses petites-filles de 4 ans et 7 ans, ce qui le distrait et lui procure du plaisir. Il s’occupe aussi des affaires administratives. Il en résulte qu’une instruction complémentaire sur le plan psychiatrique n’est pas non plus nécessaire, car il est suffisamment établi qu’une activité professionnelle était exigible du recourant, même dans l’hypothèse où il souffrirait d’une atteinte psychique.</w:t>
      </w:r>
    </w:p>
    <w:p>
      <w:r>
        <w:rPr>
          <w:b/>
        </w:rPr>
        <w:t>E. 8</w:t>
      </w:r>
    </w:p>
    <w:p>
      <w:r>
        <w:t>Reste à déterminer si l’intimé a correctement établi le degré d’invalidité du recourant après son retour à une capacité de travail de 100% dans une activité adaptée.</w:t>
      </w:r>
    </w:p>
    <w:p>
      <w:r>
        <w:rPr>
          <w:b/>
        </w:rPr>
        <w:t>E. 8.1</w:t>
      </w:r>
    </w:p>
    <w:p>
      <w:r>
        <w:t>Le recourant a fait valoir qu’il n’existait pas d’activité professionnelle exigible au vu de ses limitations fonctionnelles sur le plan physique et sur le plan psychique au-delà de 50%, sur le marché équilibré du travail, ce d'autant plus si l'on tenait compte de son âge.</w:t>
      </w:r>
    </w:p>
    <w:p>
      <w:r>
        <w:rPr>
          <w:b/>
        </w:rPr>
        <w:t>E. 8.2.1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 au degré de la vraisemblance prépondérante – réellement pu obtenir au moment déterminant s'il n'était pas invalide (ATF 139 V 28 consid. 3.3.2 et ATF 135 V 297 consid. 5.1).</w:t>
      </w:r>
    </w:p>
    <w:p>
      <w:r>
        <w:rPr>
          <w:b/>
        </w:rPr>
        <w:t>E. 8.2.2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rPr>
          <w:b/>
        </w:rPr>
        <w:t>E. 8.2.3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w:t>
      </w:r>
    </w:p>
    <w:p>
      <w:r>
        <w:rPr>
          <w:b/>
        </w:rPr>
        <w:t>E. 8.2.4</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8.3.1</w:t>
      </w:r>
    </w:p>
    <w:p>
      <w:r>
        <w:t>En l’espèce, au moment où une activité a été exigible dans une activité adaptée, le 22 janvier 2018, le recourant était âgé de 58 ans. Il n’apparaît pas dénué de ressources, ce qui ressort notamment du rapport d’évaluation d’intervention précoce faisant suite à un entretien du 23 mai 2017, lors duquel il avait indiqué avoir travaillé au Portugal dans la gestion de stock en qualité de commercial et en Suisse en qualité d’aide de cuisine, notamment dans le conditionnement de poissons (emballage ou tranchage). Il avait pu ensuite, dans le cadre d’une période de chômage, bénéficier d’un programme complet chez I______ [organisation active dans la réinsertion], où il avait effectué un stage de trois mois en qualité de commis de cuisine. Après une période de six mois de travail prolongé, il avait pu obtenir un contrat à durée indéterminée. L’assuré a également indiqué qu’il serait éventuellement intéressé à travailler comme agent de sécurité ou comme surveillant. Il y a dès lors lieu d’admettre que le recourant pouvait trouver un travail dans un marché équilibré du travail.</w:t>
      </w:r>
    </w:p>
    <w:p>
      <w:r>
        <w:rPr>
          <w:b/>
        </w:rPr>
        <w:t>E. 8.3.2</w:t>
      </w:r>
    </w:p>
    <w:p>
      <w:r>
        <w:t>L’abattement sur le salaire avec invalidité retenu par l’intimé prend correctement en compte l’âge du recourant ainsi que ses limitations fonctionnelles. Quoi qu’il en soit, même en tenant compte d’un abattement de 20% comme demandé par le recourant, cela ne lui ouvrirait pas le droit à une rente.</w:t>
      </w:r>
    </w:p>
    <w:p>
      <w:r>
        <w:rPr>
          <w:b/>
        </w:rPr>
        <w:t>E. 9.1</w:t>
      </w:r>
    </w:p>
    <w:p>
      <w:r>
        <w:t>Le recourant a demandé des mesures de réadaptation. L’intimé a considéré dans la décision querellée qu’un taux inférieur à 20% ne lui ouvrait pas de droit aux prestations sous forme de rente et que des mesures professionnelles n’étaient pas nécessaires dans sa situation.</w:t>
      </w:r>
    </w:p>
    <w:p>
      <w:r>
        <w:rPr>
          <w:b/>
        </w:rPr>
        <w:t>E. 9.2.1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Selon l’art. 8 al. 3 let. b LAI, les mesures de réadaptation comprennent les mesures d’ordre professionnel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9.2.2</w:t>
      </w:r>
    </w:p>
    <w:p>
      <w:r>
        <w:t>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Une perte de gain de 20% environ ouvre en principe droit à une mesure de reclassement dans une nouvelle profession (ATF 124 V 108 consid. 2b et les arrêts cités).</w:t>
      </w:r>
    </w:p>
    <w:p>
      <w:r>
        <w:rPr>
          <w:b/>
        </w:rPr>
        <w:t>E. 9.2.3</w:t>
      </w:r>
    </w:p>
    <w:p>
      <w:r>
        <w:t>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9.2.4</w:t>
      </w:r>
    </w:p>
    <w:p>
      <w:r>
        <w:t>Aux termes de l'art. 18 al. 1 LAI, l'assuré présentant une incapacité de travail (art. 6 LPGA) et susceptible d'être réadapté a droit : à un soutien actif dans la recherche d'un emploi approprié (let. a); à un conseil suivi afin de conserver un emploi (let. b).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arrêt du Tribunal fédéral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arrêt du Tribunal fédéral 9C_416/2009 du 1er mars 2010 consid. 5.2).</w:t>
      </w:r>
    </w:p>
    <w:p>
      <w:r>
        <w:rPr>
          <w:b/>
        </w:rPr>
        <w:t>E. 9.3</w:t>
      </w:r>
    </w:p>
    <w:p>
      <w:r>
        <w:t>En l’espèce, le recourant n’atteint pas le seuil de 20% de taux d’invalidité donnant droit à une mesure de reclassement. Le service de réadaptation de l’intimé a indiqué, dans un rapport du 6 février 2019, qu’il pouvait prétendre à de nombreux emplois tels que patrouilleur scolaire, surveillant de cantine scolaire, polisseur/emboîter, démarcheur téléphonique, préposé à l’emballage, contrôleur, visiteur en salle blanche dans l’industrie légère, huissier, par exemple dans un musée, coursier pour les livraisons express (lettres urgentes, recommandés), employé dans un centre d’appels et que ces activités respectaient ses limitations fonctionnelles et ne requéraient pas de formation particulière. Il convient ainsi d’admettre qu’il existe un nombre suffisamment large d’activités légères sur le marché du travail que le recourant peut assumer sans formation particulière, de sorte que ni un reclassement ni une mesure d’orientation professionnelle ne se justifient en l’espèce. En outre, le recourant n’est pas entravé par son atteinte à la santé dans sa faculté de rechercher un emploi. En conséquence, le recourant n’a pas droit à des mesures d’ordre professionnel.</w:t>
      </w:r>
    </w:p>
    <w:p>
      <w:r>
        <w:rPr>
          <w:b/>
        </w:rPr>
        <w:t>E. 10</w:t>
      </w:r>
    </w:p>
    <w:p>
      <w:r>
        <w:t>Infondé, le recours sera rejeté. Vu l’issue du litige, il y a lieu de condamner le recourant au paiement d'un émolument de CHF 200.- (art. 69 al. 1 bis LAI).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