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A/3257/2013 vom 5. Dezember 2013</w:t>
      </w:r>
    </w:p>
    <w:p>
      <w:r>
        <w:t>GE Cour de justice, 2013-12-05, FR</w:t>
      </w:r>
    </w:p>
    <w:p>
      <w:r>
        <w:rPr>
          <w:b/>
        </w:rPr>
        <w:t xml:space="preserve">Quelle: </w:t>
      </w:r>
      <w:r>
        <w:t>https://mcp.opencaselaw.ch/entscheid/ge_gerichte_A_3257_2013</w:t>
      </w:r>
    </w:p>
    <w:p>
      <w:r>
        <w:t>FR: GE_GERICHTE A/3257/2013 du 5 décembre 2013</w:t>
      </w:r>
    </w:p>
    <w:p>
      <w:r>
        <w:t>IT: GE_GERICHTE A/3257/2013 del 5 dicembre 2013</w:t>
      </w:r>
    </w:p>
    <w:p>
      <w:pPr>
        <w:pStyle w:val="Heading2"/>
      </w:pPr>
      <w:r>
        <w:t>Volltext</w:t>
      </w:r>
    </w:p>
    <w:p>
      <w:r>
        <w:t>Genève Cour de justice (Cour de droit public) Chambre des assurances sociales 05.12.2013 A/3257/2013</w:t>
      </w:r>
    </w:p>
    <w:p>
      <w:r>
        <w:t>A/3257/2013 ATAS/1199/2013 du 05.12.2013 ( AI ) , ADMIS/RENVOI RÉPUBLIQUE ET CANTON DE GENÈVE POUVOIR JUDICIAIRE A/3257/2013 ATAS/1199/2013 COUR DE JUSTICE Chambre des assurances sociales Arrêt du 5 décembre 2013 3ème Chambre En la cause Madame E__________, domiciliée à VINZEL / VD, représentée par Uniriscgroup smart risk &amp; hr solutions recourante contre OFFICE DE L'ASSURANCE-INVALIDITE DU CANTON DE GENEVE, sis rue des Gares 12, GENEVE intimé ATTENDU EN FAIT Que le 15 mars 2013, l’OFFICE CANTONAL DE L’ASSURANCE-INVALIDITE DE GENEVE (ci-après : l’OAI) a rendu, concernant Madame E__________ (ci-après : l’assurée) une décision lui reconnaissant le droit à une rente entière - assortie de rentes complémentaires pour ses enfants - du 1 er avril au 31 mai 2011, à une demi-rente du 1 er juin au 31 juillet 2011, puis à un quart de rente du 1 er août au 30 septembre 2011 ; Que par écriture du 6 mai 2014 adressée à la Cour des assurances sociales du Tribunal cantonal vaudois, l’assurée a interjeté recours contre cette décision en concluant à ce que lui soit reconnu un degré d’invalidité de 40% au moins à partir du 1 er octobre 2011 ; Que par décision du 23 août 2013, la Cour des assurances sociales du Tribunal cantonal vaudois s’est déclarée incompétente et a transféré le recours à la Cour de céans comme objet de sa compétence ; Qu’invité à se déterminer, l’intimé, dans sa réponse du 14 novembre 2013, a admis en substance qu’une nouvelle enquête à domicile se justifiait afin de tenir compte de l’évolution des circonstances jusqu’à la date de sa décision ; Qu’il a dès lors proposé que la cause lui soit renvoyée pour instruction complémentaire sous la forme d’une nouvelle enquête à domicile pour évaluer les empêchements ménagers rencontrés par l’assurée dans sa nouvelle demeure ; Que par ailleurs, l’intimé a relevé que, sur le plan professionnel, des changements étaient intervenus qui pourraient justifier le réexamen de la situation de la recourante, ce qu’il s’est déclaré prêt à faire, à condition que l’intéressée produise ses fiches de salaires depuis le mois de mars 2013, d’une part, et qu’elle explique les motifs pour lesquels elle a été amenée à travailler à 48% plutôt qu’à 50%, taux plus habituel pour une activité à temps partiel ; Que le 29 novembre 2013, la recourante a indiqué qu’elle ne pourrait produire ses fiches de salaire immédiatement et que si son taux d’activité est de 48%, c’est en application du calcul de l’intimé lui-même (incapacité de travail de 40% pour un taux d’activité de 80% = 32% d’incapacité) ;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déposé dans les forme et délai prévus par la loi, est recevable ; Que le litige porte sur la question du degré d’invalidité à reconnaître à la recourante à compter du mois d’avril 2011 ; Que l’autorité administrative doit constater d’office les faits déterminants, c’est-à-dire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op. cit.) ; Que de son côté, le juge qui considère que les faits ne sont pas suffisamment élucidés peut renvoyer la cause à l’administration pour complément d’instruction ou procéder lui-même à une telle instruction complémentaire (RAMA 1993 p. 136) ; Qu'en l'espèce, il apparaît nécessaire, ainsi que l’a d’ailleurs reconnu spontanément l’intimé, de procéder à des investigations supplémentaires pour, notamment, évaluer les empêchements ménagers rencontrés par l’assurée dans sa nouvelle demeure et tenir compte de l’évolution des circonstances jusqu’à la date de la décision litigieuse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 Que le recourant qui obtient gain de cause a droit au remboursement de ses frais et dépens ainsi que de ceux de son mandataire ; Que tel est le cas en l’espèce dès lors que l’intimé a admis que l’instruction du dossier nécessitait d’être complétée ; Qu’enfin, la recourante est invitée à faire parvenir ses fiches de salaire directement à l’intimé dès que possible. PAR CES MOTIFS, LA CHAMBRE DES ASSURANCES SOCIALES : Statuant A la forme : 1.        Déclare le recours recevable. ![endif]&gt;![if&gt; Au fond : 2.      L’admet partiellement au sens des considérants. ![endif]&gt;![if&gt; 3.      Renvoie la cause à l'intimé pour instruction complémentaire et nouvelle décision.![endif]&gt;![if&gt; 4.      Condamne l’intimé à verser à la recourante la somme de 1’000 fr. à titre de dépens.![endif]&gt;![if&gt; 5.      Renonce à percevoir l’émolument.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