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A/3254/2015 vom 8. Dezember 2016</w:t>
      </w:r>
    </w:p>
    <w:p>
      <w:r>
        <w:t>GE Cour de justice, 2016-12-08, FR</w:t>
      </w:r>
    </w:p>
    <w:p>
      <w:r>
        <w:rPr>
          <w:b/>
        </w:rPr>
        <w:t xml:space="preserve">Quelle: </w:t>
      </w:r>
      <w:r>
        <w:t>https://mcp.opencaselaw.ch/entscheid/ge_gerichte_A_3254_2015</w:t>
      </w:r>
    </w:p>
    <w:p>
      <w:r>
        <w:t>FR: GE_GERICHTE A/3254/2015 du 8 décembre 2016</w:t>
      </w:r>
    </w:p>
    <w:p>
      <w:r>
        <w:t>IT: GE_GERICHTE A/3254/2015 del 8 dicembre 2016</w:t>
      </w:r>
    </w:p>
    <w:p>
      <w:pPr>
        <w:pStyle w:val="Heading2"/>
      </w:pPr>
      <w:r>
        <w:t>Erwägungen</w:t>
      </w:r>
    </w:p>
    <w:p>
      <w:r>
        <w:rPr>
          <w:b/>
        </w:rPr>
        <w:t>E. 3</w:t>
      </w:r>
    </w:p>
    <w:p>
      <w:r>
        <w:t>Il persiste actuellement une cicatrice qui pourrait être améliorée par une nouvelle chirurgie correctrice. Si une intervention devait être programmée, une nouvelle déclaration devra être éditée sous l’angle de l’article 21 al. 3 LAA pour rechute et séquelles tardives ». Le lien de causalité n’ayant été reconnu que pour les atteintes faciales, la question se limite à savoir si celles-ci ont des répercussions sur la capacité de travail de la recourante au point de lui ouvrir droit à une rente. Tel n’est manifestement pas le cas puisqu’aucun médecin n’a conclu en ce sens. Le droit à une rente n’est donc pas ouvert, d’autant qu’il n’est pas contesté que la recourante a retrouvé une pleine capacité de travail à compter du 1 er juillet 2011, l’incapacité de 50% persistant depuis lors devant être attribuée à des causes maladives (pces 5, 7, 12, 27, 33, 34, 40, 48 et 49 intimée). Dès lors, la question de la continuation de la prise en charge du traitement en lien avec les atteintes faciales se pose sous l’angle de savoir s’il serait propre à entraîner une amélioration de l'état de santé ou à éviter une péjoration de cet état, sans qu’il soit nécessaire qu’il permette de rétablir ou augmenter la capacité de gain. Cependant, en l’occurrence, l’expert I______ a indiqué qu’il n’y avait pas lieu d’attendre d’amélioration s’agissant des troubles sensitifs persistant dans la zone mentonnière. C’est dès lors à juste titre que l’intimée a considéré que, sur ce plan, l’état de santé était stabilisé. En revanche, s’agissant de la cicatrice qui demeure, l’expert I______ a préconisé une nouvelle correction, dont il a estimé qu’elle pourrait conduire à une nette amélioration, ce que reconnaît le Dr E______. Ce dernier a suggéré de réserver la possibilité d’une reprise de la cicatrice sous l’angle d’une séquelle tardive ou d’une rechute et l’intimée l’a suivi sur ce point (cf. point 3 du dispositif de la décision confirmée sur opposition). La Cour de céans est d’avis qu’envisager la situation sous cet angle est erroné dans la mesure où la cicatrice n’est pas « guérie ». On ne saurait dès lors parler d’atteinte qui se « manifesterait à nouveau » ou d’état pathologique différent. On retiendra en revanche que l’état de la cicatrice n’est sans doute pas définitif et on prendra acte de l’engagement de l’intimée à prendre en charge une nouvelle reprise si la recourante s’y résout plus tard. En dehors de cela, l’état de santé doit être considéré comme stabilisé, ainsi qu’en ont attesté tous les médecins. 12.    Reste la question litigieuse de la quotité de l’IPAI, fixée par l’intimée à 5% sur la base de l’avis de son médecin-conseil, la recourante concluant quant à elle à un taux de 20%. Elle reproche notamment à l’intimée de n’avoir pas pris en compte le préjudice esthétique causé par ses cicatrices faciales.![endif]&gt;![if&gt;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 elle ne doit pas excéder le montant maximum du gain annuel assuré à l'époque de l'accident et elle est échelonnée selon la gravité de l'atteinte à l'intégrité (al. 1, 2 ème phrase). Le Conseil fédéral édicte des prescriptions détaillées sur le calcul de l'indemnité (al. 2).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ATF 113 V 218 consid. 4b et les références; voir aussi ATF 125 II 169 consid. 2d). b. Selon l’art. 36 OLAA édicté conformément à la délégation de compétence de l’art. 25 al. 2 LAA, une atteinte à l'intégrité est réputée durable lorsqu'il est prévisible qu'elle subsistera avec au moins la même gravité pendant toute la vie (al. 1, 1 ère phrase); elle est réputée importante lorsque l'intégrité physique ou mentale subit, indépendamment de la diminution de la capacité de gain, une altération évidente ou grave (al. 1, 2 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 ère phrase). Cette disposition a été jugée conforme à la loi en tant qu'elle définit le caractère durable de l'atteinte (ATF 133 V 224 consid. 2; arrêt du Tribunal fédéral des assurances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(Thomas FREI et Juerg P. BLEUER, Évaluation d'atteintes à l'intégrité multiples, in SUVA Medical 2012, p. 202). Le taux d'une atteinte à l'intégrité doit être évalué exclusivement sur la base de constatations médicales (ATF 115 V 147 consid. 1; ATF 113 V 218 consid. 4b; RAMA 2004 p. 415; arrêt du Tribunal fédéral des assurances U 134/03 du 12 janvier 2004 consid. 5.2). c. L’annexe 3 à l'OLAA comporte un barème - reconnu conforme à la loi et non exhaustif (ATF 113 V 218 consid. 2a; RAMA 1988 p. 236) - des lésions fréquentes et caractéristiques, évaluées en pourcent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 mentaleou psychique. Les atteintes à l’intégrité pour lesquelles un taux inférieur à 5 %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 du montant maximum du gain assuré serait appliqué (ch. 2 de l'annexe 3).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 d. Lors de la fixation de l'indemnité, il sera équitablement tenu compte des aggravations prévisibles de l’atteinte à l’intégrité (art. 36 al. 4 1 ère phrase OLAA). De jurisprudence constante, cette règle ne vise toutefois que les aggravations dont la survenance est vraisemblable et l'importance quantifiable (arrêt du Tribunal fédéral 8C_494/2014 du 11 décembre 2014 consid. 6.2; RAMA 1998 n° U 320 p. 602 consid. 3b). Une révision de l'indemnité n’est possible qu’en cas exceptionnel, si l’aggravation est importante et n’était pas prévisible (art. 36 al. 4 2 ème phrase OLAA; cf. arrêt du Tribunal fédéral 8C_459/2008 du 4 février 2009 consid. 2.1.3; arrêt du Tribunal fédéral des assurances U 124/01 du 22 novembre 2001 consid. 1b). Elle doit être d'au moins 5 % de plus que ce qui était pronostiqué (RAMA 1991 p. 306). En cas de concours de plusieurs atteintes à l’intégrité physique, mentaleou psychique, dues à un ou plusieurs accidents, l’indemnité pour atteinte à l’intégrité est fixée d’après l’ensemble du dommage. L’indemnité totale ne peut dépasser le montant maximum du gain annuel assuré. Il est tenu compte, dans le taux d’indemnisation, des indemnités déjà reçues en vertu de la loi (art. 36 al. 3 OLAA). e. En l’espèce, ainsi que cela a été relevé plus haut, seules perdurent, en lien de causalité avec l’accident, une cicatrice - qui pourrait être améliorée par une nouvelle chirurgie correctrice - et une neuropathie du nerf mentonnier gauche. C’est la table 17 de la SUVA qui s’applique en cas de déficits et de troubles fonctionnels des nerfs crâniens. Or, cette table prévoit effectivement, en cas d’atteinte du nerf mentonnier d’un seul côté, un taux d’indemnisation de 5% ; ce n’est qu’en cas d’atteinte au nerf mentonnier bilatéral qu’une indemnité de 7,5% est prévue (chapitre I). C’est ainsi à juste titre que l’intimée s’est écartée, sur ce point, de l’évaluation du Dr I______, celle-ci étant manifestement erronée, et n’a octroyé qu’une IPAI de 5% à la recourante. Quant à la cicatrice para-mentonnière droite, c’est la table 18 de la SUVA, relative aux atteintes à l’intégrité en cas de lésions de la peau qui pourrait trouver application. Cependant, cette table précise que, pour être indemnisée, il faut encore que l’atteinte cutanée persiste vraisemblablement dans la même mesure toute la vie. Or, en l’espèce, tant le Dr I______ que le Dr E______ ont jugé que la cicatrice de la recourante pourrait encore être considérablement amoindrie et « nettement » améliorée par une nouvelle reprise chirurgicale, raison pour laquelle, précisément, l’intimée a accepté d’entrer en matière sur la prise en charge d’une telle intervention dans le futur. Là encore, à ce stade, on ne saurait donc suivre la recourante lorsqu’elle conclut à l’octroi d’une IPAI pour atteinte esthétique. 13.    Eu égard aux considérations qui précèdent, le recours est rejeté, avec la précision qu’il est pris acte de l’engagement de l’intimée de prendre en charge une éventuelle nouvelle reprise chirurgicale de la cicatrice, à l’issue de laquelle il faudra, cas échéant, se prononcer sur un éventuelle IPAI en relation avec les séquelles esthétiques.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