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A/3252/2020 vom 9. Februar 2021</w:t>
      </w:r>
    </w:p>
    <w:p>
      <w:r>
        <w:t>GE Cour de justice, 2021-02-09, FR</w:t>
      </w:r>
    </w:p>
    <w:p>
      <w:r>
        <w:rPr>
          <w:b/>
        </w:rPr>
        <w:t xml:space="preserve">Quelle: </w:t>
      </w:r>
      <w:r>
        <w:t>https://mcp.opencaselaw.ch/entscheid/ge_gerichte_A_3252_2020</w:t>
      </w:r>
    </w:p>
    <w:p>
      <w:r>
        <w:t>FR: GE_GERICHTE A/3252/2020 du 9 février 2021</w:t>
      </w:r>
    </w:p>
    <w:p>
      <w:r>
        <w:t>IT: GE_GERICHTE A/3252/2020 del 9 febbraio 2021</w:t>
      </w:r>
    </w:p>
    <w:p>
      <w:pPr>
        <w:pStyle w:val="Heading2"/>
      </w:pPr>
      <w:r>
        <w:t>Erwägungen</w:t>
      </w:r>
    </w:p>
    <w:p>
      <w:r>
        <w:rPr>
          <w:b/>
        </w:rPr>
        <w:t>E. 1</w:t>
      </w:r>
    </w:p>
    <w:p>
      <w:r>
        <w:t>La chambre de céans examine d'office et librement la recevabilité des recours qui lui sont soumis ( ATA/220/2017 du 21 février 2017 consid. 1 et les arrêts cités). 2)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3)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e. Dans sa jurisprudence concernant le placement d'un prisonnier en cellule forte ou aux arrêts disciplinaires - applicable suivant les circonstances à d'autres sanctions disciplinaires -, compte tenu de la brièveté de la sanction, lorsque le recourant est encore en détention au moment du prononcé de la décision querellée, la chambre administrative fait en principe abstraction de l'exigence de l'intérêt actuel, faute de quoi un telle mesure échapperait systématiquement à son contrôle ( ATA/135/2019 du 12 février 2019 consid. 3 ; ATA/1272/2017 précité consid. 2c ; ATA/29/2017 du 17 janvier 2017 consid. 2d ; ATA/118/2015 du 27 janvier 2015 consid. 2c ; ATA/510/2014 du 1 er juillet 2014 consid. 3b). 4) En l'espèce, le recourant a subi la sanction disciplinaire litigieuse à compter du 26 septembre 2020, pour une durée de onze jours. Il a quitté la Brenaz le 14 octobre 2020 pour le Vallon, établissement accueillant les personnes en exécution de peine en milieu ouvert et en semi-détention. La situation n'y est dès lors plus la même s'agissant de ses contacts avec les membres de sa famille et en particulier ses deux enfants en bas âge. Aucun élément du dossier ne laisse à penser qu'il serait susceptible d'être incarcéré à nouveau dans un établissement fermé, tel la Brenaz. En application de la jurisprudence précitée et constante de la chambre de céans, il n'y a dès lors aucune raison de passer outre l'exigence de l'intérêt actuel ( ATA/1030/2019 du 18 juin 2019 ; ATA/555/2018 du 5 juin 2018 consid. 2f ; ATA/308/2016 du 12 avril 2016 et les références citées). Vu ce qui précède, le recours sera déclaré irrecevable. 5) Il sera néanmoins relevé sur le fond que la présente situation pose de nombreuses questions notamment la distinction entre les contraintes disciplinaires et sanitaires, le respect notamment des droits de l'homme et de la convention de l'enfant et des différentes alternatives pour les visites éventuellement proposées par l'établissement. 6) 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