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A/324/2024 vom 7. Oktober 2024</w:t>
      </w:r>
    </w:p>
    <w:p>
      <w:r>
        <w:t>GE Cour de justice, 2024-10-07, FR</w:t>
      </w:r>
    </w:p>
    <w:p>
      <w:r>
        <w:rPr>
          <w:b/>
        </w:rPr>
        <w:t xml:space="preserve">Quelle: </w:t>
      </w:r>
      <w:r>
        <w:t>https://mcp.opencaselaw.ch/entscheid/ge_gerichte_A_324_2024</w:t>
      </w:r>
    </w:p>
    <w:p>
      <w:r>
        <w:t>FR: GE_GERICHTE A/324/2024 du 7 octobre 2024</w:t>
      </w:r>
    </w:p>
    <w:p>
      <w:r>
        <w:t>IT: GE_GERICHTE A/324/2024 del 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L’objet du litige dans la procédure administrative subséquente est le rapport juridique qui - dans le cadre de l’objet de la contestation déterminée par la décision - constitue, d’après les conclusions du recours l’objet de la décision effectivement attaquée (ATF 125 V 413 ). En l’occurrence, le litige porte sur le droit du recourant à une rente d’invalidité et à des mesures professionnelles mais, il ne porte pas, à teneur de la décision litigieuse, sur le droit à une API.</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un éventuel droit à une rente d’invalidité naîtrait au plus tôt en 2023, soit six mois après le dépôt de la demande du 7 décembre 2022 ( cf.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Une rente n'est pas octroyée tant que toutes les possibilités de réadaptation au sens de l'art. 8 al. 1 bis et 1 ter n'ont pas été épuisées (art. 28 al. 1 bis LAI).</w:t>
      </w:r>
    </w:p>
    <w:p>
      <w:r>
        <w:rPr>
          <w:b/>
        </w:rPr>
        <w:t>E. 3.4</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3.5.1</w:t>
      </w:r>
    </w:p>
    <w:p>
      <w:r>
        <w:t>Selon l’art. 54 a LAI, les services médicaux régionaux (ci-après :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w:t>
      </w:r>
    </w:p>
    <w:p>
      <w:r>
        <w:rPr>
          <w:b/>
        </w:rPr>
        <w:t>E. 3.5.2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3.5.4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l’occurrence, l’intimé a retenu une capacité de travail nulle du recourant dans son ancienne activité de coiffeur dès le 4 juin 2021 et de 100% dans une activité adaptée à ses limitations fonctionnelles dès le 20 décembre 2022, en se fondant sur l’expertise bidisciplinaire du SMR du 29 août 2023. Quant au recourant, il s’estime totalement incapable de travailler, en faisant valoir qu’il présente un syndrome de stress post-traumatique et une seconde hernie discale, objectivée par un rapport d’IRM de la colonne lombo-sacrée du 24 septembre 2023, ainsi que des douleurs chroniques fluctuantes. Il se fonde en outre sur l’avis de la Dre C______.</w:t>
      </w:r>
    </w:p>
    <w:p>
      <w:r>
        <w:rPr>
          <w:b/>
        </w:rPr>
        <w:t>E. 4.2</w:t>
      </w:r>
    </w:p>
    <w:p>
      <w:r>
        <w:t>Dans un premier moyen, le recourant estime que la décision litigieuse est insuffisamment motivée, en violation de son droit d’être entendu.</w:t>
      </w:r>
    </w:p>
    <w:p>
      <w:r>
        <w:rPr>
          <w:b/>
        </w:rPr>
        <w:t>E. 4.2.1</w:t>
      </w:r>
    </w:p>
    <w:p>
      <w:r>
        <w:t>Le droit d'être entendu consacré à l'art. 29 al. 2 Cst. implique pour l'autorité l'obligation de motiver sa décision. Il suffit que l'autorité ou le juge mentionne, au moins brièvement, les motifs qui l'ont guidé et sur lesquels il a fondé sa décision, de manière à ce que l'intéressé puisse se rendre compte de la portée de celle-ci et l'attaquer en connaissance de cause (ATF 143 III 65 consid. 5.2 p. 70). La portée de l'obligation de motiver dépend des circonstances concrètes telles que la nature de la procédure, la complexité des questions de fait ou de droit ainsi que la gravité de l'atteinte portée à la situation juridique des parties (ATF 133 II 429 consid. 5.1.1 - non publié). La motivation peut être implicite et résulter des différents considérants de la décision (ATF 141 V 557 consid. 3.2.1 p. 565). Le droit d'être entendu est une garantie constitutionnelle de caractère formel, dont la violation doit en principe entraîner l'annulation de la décision attaquée indépendamment des chances de succès du recourant sur le fond (ATF 127 V 431 consid. 3d/aa p. 437).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p. 204 ; 129 I 129 consid. 2.2.3 p. 135 ; 127 V 431 consid. 3d/aa p. 437 ; 126 V 130 consid. 2b p. 132).</w:t>
      </w:r>
    </w:p>
    <w:p>
      <w:r>
        <w:rPr>
          <w:b/>
        </w:rPr>
        <w:t>E. 4.2.2</w:t>
      </w:r>
    </w:p>
    <w:p>
      <w:r>
        <w:t>En l’occurrence, l’intimé a considéré, dans la décision litigieuse, que la capacité de travail du recourant était celle confirmée par le SMR dans son avis du 11 décembre 2023, soit celle fondée sur l’expertise bidisciplinaire effectuée par le SMR en août 2023. Cette motivation de la décision est suffisante au regard des exigences précitées. Cela dit, même si comme le soutient le recourant, une violation de son droit d’être entendu devait être retenue, celle-ci aurait été réparée par les déterminations de l’intimé des 21 mars et 11 juin 2024, lesquelles répondent aux griefs soulevés par le recourant.</w:t>
      </w:r>
    </w:p>
    <w:p>
      <w:r>
        <w:rPr>
          <w:b/>
        </w:rPr>
        <w:t>E. 4.3</w:t>
      </w:r>
    </w:p>
    <w:p>
      <w:r>
        <w:t>Le rapport d’expertise du SMR du 2 octobre 2023, comprenant le dossier complet du recourant, le descriptif des plaintes de celui-ci, une anamnèse et un status détaillé ainsi qu’une motivation étayée et convaincante des diagnostics et de la capacité de travail du recourant, répond aux réquisits jurisprudentiels précités, de sorte qu’il convient de lui reconnaitre une pleine valeur probante. Les experts ont conclu à la présence, avec répercussion sur la capacité de travail, d’un diagnostic de lombosciatalgie gauche persistante, après double cure de hernie discale L4-L5 ; présence de protrusions circonférentielles en L4-L5, L5-S1 et de troubles dégénératifs articulaires postérieurs du côté gauche et sans répercussion sur la capacité de travail de trouble somatoforme indifférencié. La capacité de travail était nulle dans l’activité habituelle et totale dans une activité adaptée aux limitations fonctionnelles depuis le 20 décembre 2022 (pas de travail assis ou debout prolongé au-delà de 60 minutes, pas de position debout statique au-delà de 20 minutes, pas de travail sur plan instable ou en hauteur, pas de mouvements répétés de flexion-extension du tronc, pas d’attitude prolongée en porte-à-faux, pas de port de charges prolongé au-delà de 10 kg). L’expert rhumatologue a relevé un comportement algique démonstratif du recourant. L’absence de contracture paravertébrale lombaire était une incohérence significative au vu du ressenti algique exprimé (rapport d’expertise du SMR p. 15). Il existait encore une légère protrusion circonférentielle et un début de troubles dégénératifs articulaires postérieurs, ainsi qu’une petite hernie de Schmorl, qui n’expliquaient pas les violentes douleurs décrites par le recourant (rapport d’expertise du SMR pp. 15-16). L’expert psychiatre a retenu de nombreuses divergences entre les symptômes, le comportement et les activités quotidiennes, ainsi qu’entre les informations apportées par le recourant et certaines informations mentionnées dans les rapports médicaux (rapport d’expertise du SMR p. 17). Le recourant avait d’abord présenté un trouble de l’adaptation qui avait évolué en trouble somatoforme, lequel n’était pas incapacitant. L’expert a relevé que le recourant présentait des ressources (dont une famille soutenante, à tout le moins un ami qui l’avait accompagné le jour de l’expertise, une autonomie dans la gestion de son quotidien), qu’il existait de nombreuses incohérences et des discordances importantes entre les allégations douloureuses et les constatations objectivables et que sa compliance au traitement avait été relative.</w:t>
      </w:r>
    </w:p>
    <w:p>
      <w:r>
        <w:rPr>
          <w:b/>
        </w:rPr>
        <w:t>E. 4.3.1</w:t>
      </w:r>
    </w:p>
    <w:p>
      <w:r>
        <w:t>Le recourant conteste la valeur probante de l’expertise psychiatrique, au motif qu’il n’avait pas pu bénéficier d’une traduction adéquate. Il relève que le traducteur, syrien, ne maitrisait pas le dialecte irakien mais syrien et que la dernière partie de l’entretien (1h20) s’était déroulée sans traducteur.</w:t>
      </w:r>
    </w:p>
    <w:p>
      <w:r>
        <w:rPr>
          <w:b/>
        </w:rPr>
        <w:t>E. 4.3.1.1</w:t>
      </w:r>
    </w:p>
    <w:p>
      <w:r>
        <w:t>En matière d'expertise médicale, il convient d'attacher une grande importance à la compréhension la meilleure possible entre l'expert et la personne assurée, ce qui requiert de part et d'autre de bonnes connaissances linguistiques. Si l'expert ne maîtrise pas la langue de son vis-à-vis - ce qu'il conviendrait en principe d'éviter -, il est alors impératif, tant d'un point de vue médical qu'au regard des exigences d'objectivité, qu'il s'adjoigne les services d'un traducteur disposant des connaissances linguistiques nécessaires (arrêt I 642/01 du 25 juillet 2003 consid. 3.1). Cela étant, sont importants pour une évaluation médicale (en particulier dans le domaine psychiatrique) non seulement les connaissances linguistiques du traducteur, mais également d'autres facteurs dont l'appréhension s'avère bien plus difficile (tels que, par exemple, les déterminants socioculturels [en particulier l'attitude face à la maladie] ; le sexe ; l'âge ; la position sociale ; les connaissances médicales). Dans le cadre d'un examen psychiatrique, des éléments tels que l'expression non-verbale (mimique, gestuelle) ou la tonalité de la voix et la spontanéité des réponses jouent également un rôle non négligeable (arrêt I 77/07 du 4 janvier 2008 consid. 5.1.1). Au final toutefois, seul est déterminant le point de savoir si l'évaluation psychiatrique permet d'apprécier de façon fiable et complète l'état de santé psychique de la personne assurée et l'existence d'une éventuelle incapacité de travail. Le fait de recourir aux services d'un traducteur dans le cadre d'une expertise ne constitue pas une violation du droit fédéral, quand bien même il serait préférable qu'expert et assuré puissent s'exprimer dans la même langue. Le droit suisse n'exige pas des traducteurs qui agissent dans le cadre de procédures administratives ou judiciaires qu'ils disposent d'un diplôme spécifique (arrêt I 77/07 du 4 janvier 2008 consid. 5.2) ; seul est déterminant le point de savoir si l'expertise concernée constitue un moyen de preuve fiable et complet (arrêt du Tribunal fédéral 9C_457/2013 du 26 décembre 2013).</w:t>
      </w:r>
    </w:p>
    <w:p>
      <w:r>
        <w:rPr>
          <w:b/>
        </w:rPr>
        <w:t>E. 4.3.1.2</w:t>
      </w:r>
    </w:p>
    <w:p>
      <w:r>
        <w:t>En l’occurrence, lors de l’audience de comparution personnelle du 9 septembre 2024, la traductrice a expliqué qu’elle s’exprimait en arable classique, que la traduction se passait bien, contrairement à l’affirmation du recourant, et qu’elle travaillait avec différents types de dialectes ; en particulier, le syrien était proche de l’irakien. Ces éléments permettent d’exclure une grave incompréhension entre le recourant s’exprimant dans un dialecte irakien et l’interprète s’exprimant dans un dialecte syrien au jour de l’expertise psychiatrique. Par ailleurs, le recourant ne démontre pas l’existence d’erreurs manifestes ou de lacunes, ou d’éléments ignorés par l’expert et n’explique pas en quoi la présence d’un interprète syrien puis, dès le départ de celui-ci, sa maitrise insuffisante de la langue française ont concrètement influé sur le résultat de l’expertise psychiatrique, ce d’autant qu’il ressort du rapport d’expertise du SMR que le recourant a mentionné que dans le foyer pour migrants dans lequel il avait séjourné, il était celui qui parlait le mieux le français et qu’il servait parfois d’interprète (rapport d’expertise du SMR p. 8) et que l’expert psychiatre a considéré que durant la partie de l’entretien sans l’interprète, il avait pu communiquer de façon adaptée avec le recourant (rapport d’expertise du SMR p. 11), soit des éléments qui vont dans le sens d’une maitrise suffisante par le recourant de la langue française pour s’entretenir avec l’expert. Ce grief ne peut ainsi qu’être rejeté.</w:t>
      </w:r>
    </w:p>
    <w:p>
      <w:r>
        <w:rPr>
          <w:b/>
        </w:rPr>
        <w:t>E. 4.3.2</w:t>
      </w:r>
    </w:p>
    <w:p>
      <w:r>
        <w:t>Le recourant reproche à l’expert psychiatre de ne pas avoir contacté la Dre G______. Certes, au vu de l’absence de rapports médicaux du CAPPI, lequel a effectué, selon l’expert du SMR, un suivi du recourant de 2015 à 2018 et de la Dre G______, dont l’expert constate qu’elle suit le recourant depuis trois à quatre mois (rapport d’expertise du SMR p. 16), un contact avec celle-ci aurait permis d’étayer le dossier médical psychiatrique. Cela dit, l’expert n’est pas tenu de prendre contact avec d’autres médecins, la demande de renseignements de tiers relevant de son pouvoir d’appréciation (arrêt du Tribunal fédéral 9C_270/2012 du 23 mai 2012). Par ailleurs, la chambre de céans a requis un rapport médical de la Dre G______. Celui-ci, daté du 19 août 2024, n’amène pas d’élément propre à mettre en cause les conclusions de l’expert psychiatre. En effet, la Dre G______ estime qu’une reprise du travail est pour l’instant inexigible en raison du contexte social précaire, ce qui ne constitue pas une atteinte à la santé invalidante. Elle estime que le diagnostic pertinent est celui de trouble somatoforme douloureux persistant entrainant une souffrance psychique, soit un trouble de l’adaptation avec une réaction dépressive et anxieuse. Elle ne précise cependant pas les limitations fonctionnelles qui pourraient justifier une incapacité de travail totale du recourant. Elle conteste le diagnostic de trouble somatoforme indifférencié (F45.1), en soulignant que le recourant ne présente pas des plaintes variables mais des plaintes en lien avec des douleurs constantes et fixes suite à l’intervention chirurgicale. Cependant, la définition du trouble somatoforme indifférencié recoupe également le cas des plaintes liées à un trouble somatique lorsque celui-ci ne permet pas de rendre compte de la sévérité, de l’étendue, de la multiplicité et de la persistance des plaintes somatiques (CIM-10 ad F45.0), ce qui est le cas du recourant, dans la mesure où les éléments somatiques objectivés n’expliquent pas, selon l’expert rhumatologue, tout comme le chirurgien-traitant, les violentes douleurs décrites par le recourant (rapport d’expertise du SMR p. 16 et rapport du Dr B______ du 10 novembre 2022). La qualification de trouble somatoforme indifférencié n’apparait ainsi pas critiquable. Cela dit, même si un trouble somatoforme douloureux était retenu, conformément à l’avis de la Dre G______, il conviendrait encore d’expliquer son caractère incapacitant, ce qui ne ressort pas du rapport de la Dre G______, laquelle met en avant, principalement, un contexte social précaire, insuffisant pour admettre des limitations fonctionnelles incapacitantes, en tant qu’il relève du champ psychosocial, au sens de la jurisprudence précitée.</w:t>
      </w:r>
    </w:p>
    <w:p>
      <w:r>
        <w:rPr>
          <w:b/>
        </w:rPr>
        <w:t>E. 4.3.3</w:t>
      </w:r>
    </w:p>
    <w:p>
      <w:r>
        <w:t>Le recourant estime ensuite que l’IRM du 24 septembre 2023 a objectivé une nouvelle hernie discale. Il s’est référé dans son recours au rapport « à venir » de la médecin-traitante, lequel a été établi le 18 février 2024. Le rapport d’IRM précité conclut cependant à la présence de protrusions discales en L4-L5 (sans récidive herniaire) et en L5-S1 mais pas à une nouvelle hernie discale. Comme relevé par le SMR, ce rapport ne montre pas de nouvelle atteinte (avis du SMR du 11 juin 2024), étant relevé que l’expert du SMR avait déjà retenu la présence de protrusions circonférentielles en L4-L5, L5-S1 et des troubles dégénératifs articulaires postérieurs du côté gauche (rapport d’expertise du SMR p. 14). Par ailleurs, ce rapport n’est pas accompagné d’un rapport d’un spécialiste expliquant en quoi ces conclusions radiologiques entraineraient des limitations fonctionnelles supplémentaires par rapport à celles retenues par l’expert du SMR. Outre que la Dre C______ n’est pas spécialiste en chirurgie orthopédique, voire en rhumatologie, son rapport du 18 février 2024 n’atteste pas d’une nouvelle hernie discale mais uniquement d’une récidive de la douleur après la seconde intervention chirurgicale du 28 août 2021. Dans ces conditions, il y a lieu de constater que l’expertise du SMR a pris en compte toutes les atteintes somatiques du recourant.</w:t>
      </w:r>
    </w:p>
    <w:p>
      <w:r>
        <w:rPr>
          <w:b/>
        </w:rPr>
        <w:t>E. 4.3.4</w:t>
      </w:r>
    </w:p>
    <w:p>
      <w:r>
        <w:t>Au vu de ce qui précède, les griefs du recourant à l’égard de l’expertise du SMR ne permettent pas de mettre en doute les conclusions de celle-ci.</w:t>
      </w:r>
    </w:p>
    <w:p>
      <w:r>
        <w:rPr>
          <w:b/>
        </w:rPr>
        <w:t>E. 4.4</w:t>
      </w:r>
    </w:p>
    <w:p>
      <w:r>
        <w:t>Le recourant reproche enfin à l’intimé de ne pas avoir ciblé les activités exigibles. À cet égard, pour les assurés, comme c’est le cas du recourant, qui ne peuvent plus accomplir leur ancienne activité parce qu’elle est physiquement trop astreignante pour leur état de santé, mais qui conservent néanmoins une capacité de travail importante dans des travaux légers, le salaire d’invalide statistique est suffisamment représentatif de ce qu’ils seraient en mesure de réaliser en tant qu’invalides dès lors qu’il recouvre un large éventail d’activités variées et non qualifiées, n’impliquant pas de formation particulière et compatible avec des limitations fonctionnelles peu contraignantes (arrêt du Tribunal fédéral 9C_603/2015 du 25 avril 2016). L’intimé n’était donc pas dans l’obligation de cibler des activités particulières, compatibles avec les limitations fonctionnelles du recourant.</w:t>
      </w:r>
    </w:p>
    <w:p>
      <w:r>
        <w:rPr>
          <w:b/>
        </w:rPr>
        <w:t>E. 4.5</w:t>
      </w:r>
    </w:p>
    <w:p>
      <w:r>
        <w:t>Le calcul du degré d’invalidité effectué par l’intimé et aboutissant à un taux nul n’est pas contesté. Il convient de relever que même si le revenu sans et avec invalidité était identique et qu’un abattement, même maximum, était appliqué, le degré d’invalidité de 25% serait insuffisant pour ouvrir le droit à une rente d’invalidité. Enfin, compte tenu des activités légères accessibles au recourant sans formation et l’absence de toute aptitude subjective à la réadaptation, le recourant s’estimant totalement incapable de travailler, une mesure d’ordre professionnel ne se justifie pas (procès-verbal d’audience du 9 septembre 2024).</w:t>
      </w:r>
    </w:p>
    <w:p>
      <w:r>
        <w:rPr>
          <w:b/>
        </w:rPr>
        <w:t>E. 5</w:t>
      </w:r>
    </w:p>
    <w:p>
      <w:r>
        <w:t>Au vu de ce qui précède, le recours ne peut qu’être rejeté. Il convient de renoncer à la perception d'un émolument, le recourant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