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A/3247/2022 vom 12. September 2023</w:t>
      </w:r>
    </w:p>
    <w:p>
      <w:r>
        <w:t>GE Cour de justice, 2023-09-12, FR</w:t>
      </w:r>
    </w:p>
    <w:p>
      <w:r>
        <w:rPr>
          <w:b/>
        </w:rPr>
        <w:t xml:space="preserve">Quelle: </w:t>
      </w:r>
      <w:r>
        <w:t>https://mcp.opencaselaw.ch/entscheid/ge_gerichte_A_3247_2022</w:t>
      </w:r>
    </w:p>
    <w:p>
      <w:r>
        <w:t>FR: GE_GERICHTE A/3247/2022 du 12 septembre 2023</w:t>
      </w:r>
    </w:p>
    <w:p>
      <w:r>
        <w:t>IT: GE_GERICHTE A/3247/2022 del 12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ne conteste pas, à juste titre, que les strictes conditions nécessaires à l’octroi d’un permis humanitaire ne sont pas remplies. ![endif]&gt;![if&gt; En effet, il ne peut justifier d’un séjour antérieur à l’année 2017. Son intégration socioculturelle ne remplit pas les conditions du caractère particulièrement remarquable. Enfin et comme il sera détaillé ci-dessous, sa réintégration dans son pays d’origine n’aurait pas de graves conséquences sur sa situation personnelle, indépendamment des circonstances générales économiques, sociales ou sanitaires affectant l’ensemble de la population restée sur place. Il y a grandi, y a travaillé en parle la langue, et y a une famille encore nombreuse à laquelle il rend régulièrement visite.</w:t>
      </w:r>
    </w:p>
    <w:p>
      <w:r>
        <w:rPr>
          <w:b/>
        </w:rPr>
        <w:t>E. 3</w:t>
      </w:r>
    </w:p>
    <w:p>
      <w:r>
        <w:t>Le recourant conteste toutefois que son renvoi soit licite et raisonnablement exigible. ![endif]&gt;![if&gt;</w:t>
      </w:r>
    </w:p>
    <w:p>
      <w:r>
        <w:rPr>
          <w:b/>
        </w:rPr>
        <w:t>E. 3.1</w:t>
      </w:r>
    </w:p>
    <w:p>
      <w:r>
        <w:t>Selon l'art. 64 al. 1 let. c de la loi fédérale sur les étrangers et l'intégration du 16 décembre 2005 (LEI - RS 142.20), toute personne étrangère dont l'autorisation est refusée, révoquée ou qui n'est pas prolongée après un séjour autorisé est renvoyée. La décision de renvoi est assortie d'un délai de départ raisonnable (art. 64 let. d al. 1 LEI).![endif]&gt;![if&gt;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3.3</w:t>
      </w:r>
    </w:p>
    <w:p>
      <w:r>
        <w:t>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3).![endif]&gt;![if&gt;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3.4</w:t>
      </w:r>
    </w:p>
    <w:p>
      <w:r>
        <w:t>En l’espèce, il ressort du dossier que le recourant est le deuxième d’une fratrie de six enfants. À l’exception d’un frère, B______, ses parents, son autre frère et ses trois sœurs vivent au Kosovo. Le 18 janvier 2017, il a communiqué à l’OCPM l’adresse précise de ses parents à Vitina. Il a sollicité à plusieurs reprises des visas, notamment les 18 juin 2019, le 3 décembre 2019, le 15 février 2021, le 1 er juin 2021 le 6 novembre 2021, le 4 avril 22, le 11 juin 2022 aux fins de voir sa famille. ![endif]&gt;![if&gt; Il a indiqué avoir suivi toute sa scolarité obligatoire au Kosovo, puis y avoir étudié quatre années en économie. Il avait dû cesser ses études faute de moyens. Il avait par la suite occupé divers emplois notamment dans la restauration et le bâtiment jusqu’à son départ en 2015 pour l’Allemagne. En conséquence, il est établi que le recourant a encore de la famille au Kosovo qui pourra le soutenir en cas de renvoi. Par ailleurs, au vu des nombreuses années passées dans son pays d’origine, y compris des emplois qu’il y a exercés, il lui sera loisible de mettre en valeur ses expériences acquises en Suisse pour essayer d’y trouver à nouveau un travail, étant précisé que l’intéressé ne conteste pas être apte à travailler et avoir exercé une activité lucrative régulière en Suisse, notamment dans le bâtiment. Il a, en sus, pu acquérir des compétences linguistiques en français qu’il pourra mettre en valeur dans son pays d’origine. Sur le plan médical, le rapport établi par les HUG le 9 janvier 2019 faisait état d’un diagnostic VIH au stade A1. Un suivi clinique et biologique avec prise de sang et quantification du virus dans le sang devait être assuré deux à quatre fois par année. Un traitement au Genoya (composé de cinq médicaments à savoir Elvitégravir, cobicistat, emtricitabine et ténofovir alafénamide) était pris depuis avril 2018 et devrait l’être probablement à vie. Le pronostic avec traitement était favorable tant actuellement que dans le futur. Sans traitement, le pronostic était défavorable avec, dans le futur, un risque de danger vital. Le dernier rapport médical, produit devant le TAPI, établi par les HUG le 31 mars 2023 suite à une consultation du 24 du même mois, mentionne un bon état clinique et une évolution avec une bonne compliance du patient au traitement antirétroviral. Le diagnostic ne fait pas mention du stade du VIH. Le traitement était inchangé depuis 2018, à l’instar du pronostic. Le médecin précisait, s’agissant des possibilités de traitement au Kosovo, que le SEM examinerait d’office la question des traitements, lesquels pouvaient être complétés par des mesures d’aide médicale au retour. L’accès au traitement antirétroviral était possible au Kosovo. Il était toutefois entravé d’une part en raison de la discrimination importante que subissaient les personnes vivant avec le VIH et, d’autre part, par le manque de ressources. À la question de savoir, d’un point de vue médical, « qu’est-ce qui irait à l’encontre d’un traitement médical dans le pays d’origine », les HUG précisaient que l’intéressé ne présentait pas, pour l’instant, de résistances, « mais s’il devait être amené à changer de traitement à cause de ruptures de stock ou d’autres raisons non basées sur des recommandations médicales, il pourrait encourir le risque de développer des résistances, ce qui limiterait son accès aux soins ». Au vu de ce rapport, récent, établi par les médecins traitants du recourant, il ne peut pas être retenu que la santé et la vie de celui-ci seraient actuellement mises en danger par un renvoi dans son pays d’origine. L’autorité intimée a d’ailleurs confirmé, le 18 avril 2023, que ce rapport médical ne remettait pas en cause la garantie de l’accès aux soins nécessités par la maladie du recourant. Cette conclusion est conforme à celles prises précédemment, en fonction notamment du rapport médical du 9 janvier 2019, l’état du patient étant stable, et de l’avis détaillé du service spécialisé du SEM répondant à la question précise de savoir quel était le traitement disponible au Kosovo. Ce dernier a ainsi expliqué que l’Hôpital universitaire de Pristina est compétent dans le suivi de la maladie dont souffre le recourant et les médicaments Emtricitabine, Ténofovir alafénamide y sont délivrés gratuitement. Quant aux Genvoya et Cobicstat, il semble possible de les faire importer avec une ordonnance auprès des pharmacies locales. Dans tous les cas, des traitements de substitution sont disponibles, les noms sont fournis. Ni le recourant ni ses médecins n’ont émis de critiques précises contre cette détermination, notamment en détaillant, avec minutie, quels traitements étaient concernés, seraient indisponibles, nécessiteraient d’être substitués, par quelle autre médication, si une combinaison serait envisageable en fonction de la disponibilité partielle des cinq composants mentionnés sous le terme de genvoya et ce qu’elle risquerait d’impliquer pour le recourant, à quel terme. À ce titre, la littérature fournie par le recourant reste générique et n’établit pas que l’avis spécialisé du SEM serait erroné. Même à considérer que le traitement actuellement suivi par le recourant ne soit pas disponible au Kosovo, et doive être modifié en fonction des médicaments sur place, la solution ne serait pas différente. Le médecin invoque un risque de résistances. Outre qu’il s’agit d’une hypothèse, elle ne suffit pas, à teneur de la jurisprudence extrêmement stricte en la matière, à considérer que l’état de l’intéressé, même s’il développait des résistances, ne bénéficierait pas des traitements et des soins essentiels lui garantissant des conditions minimales d’existence. Référence est faite à la jurisprudence précitée selon laquelle il n’existe pas de droit général d'accès en Suisse à des mesures médicales visant à maintenir sa santé, au simple motif que l'infrastructure hospitalière et le savoir-faire médical dans le pays d'origine ou de destination de l'intéressé n'atteignent pas le standard élevé qu'on trouve en Suisse. Le recourant produit plusieurs pièces décrivant différents risques au Kosovo pour la santé des personnes atteintes du VIH, notamment dans l’approvisionnement des médicaments et le coût des soins. Il ressort ainsi d’un rapport de l’OSAR de 2017 des dysfonctionnements dans le système de soins au Kosovo, notamment de longues listes d’attente, du personnel médical peu qualifié, voire des médicaments en rupture de stock. De même, une partie importante des coûts de prestations de santé des médicaments devrait être prise en charge par le patient auxquels s’ajouteraient des paiements informels en vue de bénéficier de meilleurs accès à des médicaments. Selon un rapport de l’ombudsman de la République du Kosovo du 15 mai 2019, les personnes vivant avec le VIH continueraient de rencontrer des obstacles, notamment en termes de traitement, de soins de santé et d’autres services liés au VIH et au sida. Les obstacles seraient aussi liés « aux barrières économiques, aux préjudices et aux stéréotypes, l’inégalité de genre et l’existence de stigmates et de discrimination dans les institutions de santé » selon la traduction du Groupe santé Genève faite pour le recourant. Selon un rapport de la même autorité de 27 janvier 2021, « les ARV n’étaient pas garantis pour une durée suffisante et fréquemment [les patients] devaient acheter les médicaments. D’autres ont indiqué que, dans les années précédentes, ils ont été laissés sans médicaments durant deux mois (certains affirment avoir acheté eux‑mêmes les médicaments alors que d’autres n’avaient pas les moyens de le faire) ». Le recourant fonde son argumentation sur le fait que le traitement requis ne serait pas disponible au Kosovo et qu’on ne saurait leur imposer un changement de régime thérapeutique « pour des raisons de politique migratoire ». Il allègue que « les changements de régime thérapeutique sans motifs médicaux peuvent être la cause d’échec thérapeutique ou engendrer des résistances et en un impact négatif sur le résultat du traitement ». Pour le surplus, plusieurs de ces pièces apparaissent relativement anciennes. Le recourant produit toutefois deux articles de la presse locale, du 24 mai 2023 avec une traduction libre, relative à la clinique des maladies infectieuses au Kosovo. Ces deux articles, intéressants car récents, font état de l’absence de deux types de médicaments, soit du Dolutegravir, ainsi que le Lopinavir/Ritonavir, bloqués à la frontière, mais devront être disponibles « mercredi » avant dédouanement et distribution. D’une part, il ne ressort pas du dossier que le recourant prenne ces médicaments. D’autre part, les manques semblent porter sur une, voire deux, mais au maximum trois semaines. S’ils confirment l’existence de pénuries, évoquées dans les pièces produites par le recourant, les articles témoignent du fait qu’elles sont limitées dans le temps, connues, évoquées dans la presse et à ce titre, publiquement problématiques. La question est donc suivie par les autorités et la santé des personnes concernées est ouvertement discutée et prise en considération. Le recourant ne conteste pas qu’en principe les traitements sont gratuits. De même, l’autorité intimée a dûment mentionné dans sa décision que « dans les établissements de santé publics tels que l’Hôpital universitaire de Pristina, les traitements sont, en principe, gratuits, de même que tous les médicaments et les tests ». Aucun élément au dossier n’indique que le recourant n’aurait pas les moyens financiers de se procurer le traitement nécessaire. Les considérations sur la situation économique du Kosovo, le taux de chômage ou le montant du salaire moyen ne sont pas déterminantes, ces conditions s’appliquant à toute la population dudit pays. Contrairement à ce que soutient le recourant, au vu de son jeune âge, de l’expérience professionnelle et linguistique acquise en Suisse, et de son aptitude à travailler, il est vraisemblable qu’il trouve un emploi dans son pays d’origine et en conséquence ait les moyens nécessaires s’il devait avoir à financer une partie de son traitement. Par ailleurs, il bénéficie, comme vu ci-dessus, d’une famille nombreuse sur place pour le soutenir. Ainsi, sans nier les difficultés des personnes atteintes du VIH au Kosovo à pouvoir bénéficier des traitements, des soins de santé et autres services liés au VIH, l’intéressé se trouvera dans une situation identique à celle de ses compatriotes. Il ne peut être exclu qu’il doive, parfois, financer certains médicaments à la suite de déficiences du système de gratuité étatique. Il n’est pas exclu qu’il doive avoir recours à des traitements de substitution, en l’absence des médicaments prescrits et au vu du prix du traitement actuel. Aucune partie ne conteste l’existence de traitements de substitution au Kosovo. Sans nier les risques de résistance, en l’état non démontrés, leur éventuelle influence devrait être rapidement décelée grâce aux contrôles réguliers, préconisés par les médecins traitants, que le recourant pourra effectuer dans son pays d’origine. Enfin, le TAPI a, à juste titre rappelé qu’au besoin, une assistance et une coordination médicales pourraient également lui être octroyées au moment de l'exécution du renvoi, afin de le soutenir dans cette phase transitionnelle. Le renvoi n’est ainsi pas contraire aux engagements internationaux de la Suisse, dès lors qu’il n’est pas établi que le recourant encoure un « risque réel d'être exposé à un déclin grave, rapide et irréversible de son état de santé entraînant des souffrances intenses ou à une réduction significative de son espérance de vie ». Le renvoi est exigible en l’absence de nécessité médicale et de mise en danger concrète au sens de l’art. 83 al. 4 LEI. Compte tenu du fait que le recourant est jeune, capable de travailler, a eu différents emplois en Suisse, qu’il pourra mettre cette expérience à profit au Kosovo pour retrouver un emploi, qu’il y a de la famille, que sa maladie en est actuellement au stade A1, soit le moins grave, que des traitements, voire des solutions alternatives sont disponibles sur place, c’est conformément au droit et sans abuser de son pouvoir d’appréciation que l’autorité intimée a considéré que les conditions pour ordonner un renvoi étaient remplies au vu de la jurisprudence très stricte en la matière. Mal fondé, le recours sera rejeté.</w:t>
      </w:r>
    </w:p>
    <w:p>
      <w:r>
        <w:rPr>
          <w:b/>
        </w:rPr>
        <w:t>E. 4</w:t>
      </w:r>
    </w:p>
    <w:p>
      <w:r>
        <w:t>Vu l’issue du recours, un émolument de CHF 400.- sera mis à la charge du recourant (art. 87 al. 1 LPA).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