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A/3246/2024 vom 30. Juni 2025</w:t>
      </w:r>
    </w:p>
    <w:p>
      <w:r>
        <w:t>GE Cour de justice, 2025-06-30, FR</w:t>
      </w:r>
    </w:p>
    <w:p>
      <w:r>
        <w:rPr>
          <w:b/>
        </w:rPr>
        <w:t xml:space="preserve">Quelle: </w:t>
      </w:r>
      <w:r>
        <w:t>https://mcp.opencaselaw.ch/entscheid/ge_gerichte_A_3246_2024</w:t>
      </w:r>
    </w:p>
    <w:p>
      <w:r>
        <w:t>FR: GE_GERICHTE A/3246/2024 du 30 juin 2025</w:t>
      </w:r>
    </w:p>
    <w:p>
      <w:r>
        <w:t>IT: GE_GERICHTE A/3246/2024 del 30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l’AI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La recourante ayant, dans le complément à son recours, renoncé à ses conclusions en octroi d'une rente et contestant uniquement le salaire sans invalidité retenu par l'intimé, le litige porte sur la conformité au droit du refus d'octroi de mesures d'ordre professionnel, et plus particulièrement sur le salaire sans invalidité retenu pour le calcul du degré d'invalidité.</w:t>
      </w:r>
    </w:p>
    <w:p>
      <w:r>
        <w:rPr>
          <w:b/>
        </w:rPr>
        <w:t>E. 3.1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La réadaptation par soi-même est un aspect de l’obligation de diminuer le dommage et prime aussi bien le droit à une rente qu’à celui des mesures de réadaptation (art. 21 al. 4 LPGA).</w:t>
      </w:r>
    </w:p>
    <w:p>
      <w:r>
        <w:rPr>
          <w:b/>
        </w:rPr>
        <w:t>E. 3.2</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l’âge de l’assuré (let. a), de son niveau de développement (let. b), de ses aptitudes (let. c) et de la durée probable de la vie active (let. d ; art. 8 al. 1bis LAI). L’art. 8 al. 3 let. b LAI dispose que les mesures de réadaptation comprennent les mesures d’ordre professionnel (orientation professionnelle, formation professionnelle initiale, reclassement, placement, aide en capital). L'art. 15 LAI dispose que l’assuré auquel son invalidité rend difficile le choix d’une profession, ou l’exercice de son activité antérieure, a droit à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(OFAS, Circulaire sur les mesures de réadaptation professionnelle de l'AI [ci-après : CMRPr], valable dès le 1 er janvier 2022, n.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 CMRPr, le groupe ciblé pour l’orientation professionnelle est celui de personnes assurées ayant suivi une formation professionnelle initiale et/ou avec expérience professionnelle auxquelles l’invalidité rend difficile l’exercice de leur activité actuelle et qui ont par conséquent besoin d’une orientation professionnelle spécialisée (n. 16.1).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Selon l’art. 18 LAI, l’assuré en incapacité de travail (art. 6 LPGA) et susceptible d’être réadapté a droit à un soutien pour rechercher un emploi approprié ou, s’il en a déjà un, pour le conserver (al. 1). L’assurance peut accorder à l’assuré un placement à l’essai de 180 jours au plus afin de vérifier qu’il possède les capacités nécessaires pour intégrer le marché de l’emploi (art. 18a al. 1 LAI).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I 421/01 du 15 juillet 2002 consid. 2c in VSI 2003 p. 274 ;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I 421/01 du 15 juillet 2002 consid. 2c in VSI 2003 p. 74). Conformément au principe de la proportionnalité, le droit à une mesure déterminée doit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w:t>
      </w:r>
    </w:p>
    <w:p>
      <w:r>
        <w:rPr>
          <w:b/>
        </w:rPr>
        <w:t>E. 3.3</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l'AI,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3.4</w:t>
      </w:r>
    </w:p>
    <w:p>
      <w:r>
        <w:t>Se pose en premier lieu la question de savoir si l'assuré est invalide ou menacé d'une invalidité permanente (art. 8 al. 1 LAI). On rappellera qu'il n'existe pas un droit inconditionnel à obtenir une mesure professionnelle (arrêt du Tribunal fédéral 9C_385/2009 du 13 octobre 2009). Il faut également relever que si une perte de gain de 20%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(arrêt du Tribunal fédéral 9C_464/2009 du 31 mai 2010).</w:t>
      </w:r>
    </w:p>
    <w:p>
      <w:r>
        <w:rPr>
          <w:b/>
        </w:rPr>
        <w:t>E. 4.1</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 septies du règlement du 17 janvier 1961 sur l'AI du 17 janvier 1961 (RAI - RS 831.201),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w:t>
      </w:r>
    </w:p>
    <w:p>
      <w:r>
        <w:rPr>
          <w:b/>
        </w:rPr>
        <w:t>E. 4.3</w:t>
      </w:r>
    </w:p>
    <w:p>
      <w:r>
        <w:t>L’art. 25 RAI pose les principes de la comparaison des revenus. Selon son al. 1,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l’ESS de l’Office fédéral de la statistique (ci-après : OFS)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4.4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5.1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 bis al. 1 RAI est également inférieur d’au moins 5% aux valeurs médianes usuelles dans la branche selon l’ESS ou lorsque l’assuré exerçait une activité lucrative indépendante (art. 26 al. 2 et 3 RAI). Le revenu sans invalidité des indépendants peut, en principe, être déterminé sur la base des inscriptions au compte individuel (ci-après : CI). Si le revenu réalisé jusqu'à la survenance de l'invalidité présente des fluctuations importantes et relativement brèves, il convient de se baser sur le gain moyen réalisé sur une période plus longue (arrêts du Tribunal fédéral 8C_437/2023 du 13 décembre 2023 consid. 8.4.1 ; 8C_567/2013 du 30 décembre 2013 consid. 2.2.2 et les références).</w:t>
      </w:r>
    </w:p>
    <w:p>
      <w:r>
        <w:rPr>
          <w:b/>
        </w:rPr>
        <w:t>E. 5.2</w:t>
      </w:r>
    </w:p>
    <w:p>
      <w:r>
        <w:t>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 B 80/01 du 17 octobre 2003 consid. 5.2.2) ou lorsque l’assuré a quitté son emploi pour d’autres motifs que son état de santé (arrêt du Tribunal fédéral 8C_537/2023 du 17 avril 2024 consid. 4.2.3 et 5.1 et les références), ou dans les cas où le temps écoulé depuis l'obtention du dernier salaire et la naissance éventuelle du droit à la rente est important (par ex. huit ans : arrêt du Tribunal fédéral 9C_504/2023 du 28 février 2024 consid. 5.1.2 et la référence). Les activités antérieures sont déterminantes pour fixer la valeur statistique précise. Il faut établir quel serait le revenu d’une personne sans atteinte à sa santé physique, psychique ou mentale, au bénéfice de la même formation et placée dans une situation professionnelle équivalente ou analogue (art. 26 al 4 RAI ; OFAS, Circulaire sur l’invalidité et les rentes dans l’assurance-invalidité [ci-après : CIRAI], n. 3314), sauf si l’assuré n’a jamais exercé la profession concernée ou ne l’a plus fait depuis de nombreuses années (OFAS, CIRAI, n. 3315).</w:t>
      </w:r>
    </w:p>
    <w:p>
      <w:r>
        <w:rPr>
          <w:b/>
        </w:rPr>
        <w:t>E. 5.3</w:t>
      </w:r>
    </w:p>
    <w:p>
      <w:r>
        <w:t>La jurisprudence du Tribunal fédéral concernant l’utilisation des salaires statistiques reste pertinente (OFAS, rapport explicatif, ad art. 25 al. 3, p. 45). Il convient de se fonder, en règle générale, sur les valeurs médianes indiquées dans la table ESS TA1_tirage_skill_level. Il y a lieu de déterminer d’abord si ce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 formation, de l’expérience et de la situation professionnelles de l’assuré. Le salaire, indépendant de l’âge et tenant compte du sexe (ATF 129 V 408 consid. 3.1.2), doit être adapté au temps de travail usuel dans les entreprises de la division économique concernée et, le cas échéant, indexé selon l’évolution de l'ISS au sein de la branche pour l’année déterminante (art. 25 al. 3 et 4 ; 26 al. 4 RAI ; OFAS, CIRAI, n. 3207 ss ; arrêt du Tribunal fédéral 8C_276/2021 du 2 novembre 2021). Si l’on ne tient pas compte d’une branche en particulier, le total de la durée normale du travail dans les entreprises ou l’évolution des salaires nominaux de toutes les divisions économiques est déterminant (OFAS, CIRAI, n. 3212 et 3213).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et que le secteur en question est adapté et exigible (ATF 148 V 174 consid. 6.2 ; 133 V 545 et les références ; arrêts du Tribunal fédéral 8C_124/2021 du 2 août 2021 consid. 4.4.1 ; 8C_111/2021 du 30 avril 2021 consid. 4.2.1 et les références). Dans ce cas, il faut utiliser les valeurs indépendantes de l’âge et tenant compte du sexe (OFAS, CIRAI, n. 3207). Depuis la 10 e édition des ESS (ESS 2012), les emplois sont classés par l'OFS par profession en fonction du type de travail qui est généralement effectué. L'accent est ainsi mis sur le type de tâches que la personne concernée est susceptible d'assumer en fonction des niveaux et de la spécialisation des compétences requis pour effectuer les tâches inhérentes à la profession, et non plus sur les qualifications en elles-mêmes. Quatre niveaux de compétence ont été définis en fonction de neuf grands groupes de profession (voir tableau T17 de l'ESS 2012 p. 44) et du type de travail, de la formation nécessaire à la pratique de la profession et de l'expérience professionnelle (voir tableau TA1_skill_level de l'ESS 2012 ; ATF 142 V 178 consid. 2.5.3 et les références).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 du Tribunal fédéral 8C_657/2023 du 14 juin 2024 consid. 6.1 et les références, destiné à la publication). Pour la détermination du niveau de compétences, il y a lieu de rappeler que l'accent est avant tout mis sur le type de tâches que l'assuré est susceptible d'assumer en fonction de ses qualifications (arrêt du Tribunal fédéral 8C_657/2023 du 14 juin 2024 consid. 6.4 et les références, destiné à la publication). L'application du niveau de compétence 2 a été admis dans le cas d'un entrepreneur de jardinage indépendant qui avait travaillé pendant de nombreuses années en tant que contremaître, chez une vendeuse de textiles qui avait terminé son apprentissage avec d'excellentes notes et avait ensuite rapidement accédé à un poste de responsable de filiale, chez un gérant et directeur d'une entreprise de construction qui disposait à la base d'une formation de charpentier et qui avait fait une formation continue pour devenir contremaître et directeur de projet, chez un charpentier indépendant qui, au sein de son entreprise, effectuait aussi des tâches administratives et qui était responsable de quatre collaborateurs et de deux apprentis ou encore chez un assuré qui n'avait pas de diplôme d'apprentissage mais qui était chef d'une entreprise dans l'industrie de la construction et avait, avant son atteinte à la santé, un revenu nettement supérieur à celui qu'il aurait pu obtenir en tant qu'employé.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w:t>
      </w:r>
    </w:p>
    <w:p>
      <w:r>
        <w:rPr>
          <w:b/>
        </w:rPr>
        <w:t>E. 5.4</w:t>
      </w:r>
    </w:p>
    <w:p>
      <w:r>
        <w:t>Il convient de se référer à la version de l'ESS publiée au moment déterminant de la décision querellée (ATF 143 V 295 consid. 4 ; arrêt du Tribunal fédéral 8C_655/2016 du 4 août 2017 consid. 6.3).</w:t>
      </w:r>
    </w:p>
    <w:p>
      <w:r>
        <w:rPr>
          <w:b/>
        </w:rPr>
        <w:t>E. 5.5</w:t>
      </w:r>
    </w:p>
    <w:p>
      <w:r>
        <w:t>Les directives relatives au salaire minimum d'une convention collective de travail déclarée de force obligatoire par le Conseil fédéral dans la branche professionnelle concernée ne sont pas utilisées uniquement pour vérifier le caractère inférieur à la moyenne d'un revenu effectivement réalisé. Au contraire, la jurisprudence a, à diverses reprises, pris en compte les salaires dus en vertu d'une convention collective de travail pour déterminer le revenu de valide (arrêts du Tribunal fédéral 8C_562/2023 du 29 mai 2024 consid. 4.1.2 et les références citées ; 8C_677/2021 du 31 janvier 2022 consid. 4.2.1 ; 8C_134/2021 du 8 septembre 2021 consid. 5.4 et les références citées). Le revenu sans invalidité doit en effet être fixé aussi concrètement que possible (ATF 144 I 103 consid. 5.3 ; 135 V 58 consid. 3.1 ; 135 V 297 consid. 5.1 ; 134 V 322 consid. 4.1 ; arrêt du Tribunal fédéral 8C_562/2023 précité consid. 4.1.3) et les revenus spécifiques à la branche sont représentés de manière plus précise dans une convention collective de travail étendue que dans l'ESS (arrêt du Tribunal fédéral 8C_562/2023 précité consid. 4.1.3 ; 8C_756/2022 du 14 décembre 2023 consid. 5.1.2).</w:t>
      </w:r>
    </w:p>
    <w:p>
      <w:r>
        <w:rPr>
          <w:b/>
        </w:rPr>
        <w:t>E. 6</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Si l’assuré ne réalise pas de revenu déterminant, le revenu avec invalidité est déterminé en fonction des valeurs statistiques visées à l’art. 25 al. 3 RAI (art. 26 bis al. 2 RAI).</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l'intimé s'est fondé sur les statistiques ESS pour arrêter le revenu sans invalidité de la recourante, ceci à juste titre au regard du fait qu'elle a cessé son activité indépendante non pas en raison de son état de santé, mais pour cause de faillite. L'intimé a ainsi retenu un salaire sans invalidité de CHF 47'431.-. Pour ce faire, il s'est fondé sur la ligne 96, niveau de compétence 1 pour une femme du tableau TA1_tirage_skill_level de l'ESS 2020, correspondant à un salaire mensuel de CHF 3'908.-, ce qui aboutit, pour une durée hebdomadaire normale de travail de 41.2 heures, à un salaire mensuel de CHF 4'086.- et à un salaire annuel de CHF 49'038.-. L'année prise en considération pour l'évaluation de l'invalidité étant 2024, il a appliqué l'indexation selon l'ISS, l'indice pour 2020 étant de 109.3 et celui de 2023 de 105.7, pour aboutir au revenu annuel sans invalidité pour un plein temps de CHF 47'431.-, soit un salaire mensuel de CHF 3'953.-. La recourante affirme que l'intimé aurait plutôt dû prendre en considération un salaire mensuel de CHF 4'190.-, soit un salaire annuel de CHF 50'280.-, en se fondant sur la CCT. La CCT, pour la fixation du salaire mensuel de base, renvoie à son annexe 1, et distingue le salaire des employés qualifiés (ch. 40.3), semi-qualifiés (ch. 40.4) et non qualifiés (ch. 40.5). L'annexe 1 prévoit un salaire de base, pour un plein temps en 2024, dès la 3 e année professionnelle, de CHF 4'190.- par mois, soit CHF 50'280.- par année, pour un employé qualifié ; de CHF 4'050.- par mois, soit CHF 48'600.- par année, pour un employé semi-qualifié ; et de CHF 3'950.- par mois, soit CHF 47'400.- par année pour un employé non qualifié. La CCT définit comme employés qualifiés les titulaires du certificat fédéral de capacité (ci-après : CFC) ou d'un certificat équivalent (ch. 39.1) ; comme employés semi-qualifiés les titulaires d'une attestation de formation élémentaire ou de formation professionnelle (ci-après : AFP) ou d'une formation équivalente (ch. 39.2 let. a) et ceux qui ont achevé des écoles professionnelles sur deux ans au minimum ou une formation équivalente (ch. 39.2 let. b) ; et comme employés non qualifiés les employés qui ne possèdent pas un titre équivalent au sens des ch. 39.1 et 39.2 (ch. 39.3). La recourante demande ainsi la prise en compte du salaire prévu par la CCT pour une employée qualifiée, mettant en avant son diplôme obtenu en Côte d'Ivoire et sa très longue expérience professionnelle. L'intimé soutient quant à lui que la recourante ne pourrait qu'être considérée comme une employée semi-qualifiée. La recourante a produit comme diplôme à l'appui de son recours l'ordre du mérite ivoirien par lequel le président l'a nommée chevalière de l'ordre du mérite ivoirien le 24 novembre 1982. Si ce document mentionne effectivement la profession de coiffeuse de la recourante, il n'apparaît pas être un diplôme de coiffure. Or, si la recourante a indiqué avoir obtenu un diplôme ivoirien de coiffure, elle a également expliqué à l'OAI – alors que l'ordre du mérite ivoirien figurait déjà à la procédure – avoir perdu ses diplômes et certificats et ne plus avoir aucune copie de ceux-ci. Il ne peut dans ces circonstances être retenu que la recourante pourrait faire valoir être titulaire d'un certificat équivalent à un CFC afin d'être qualifiée d'employée qualifiée au sens de la CCT ou d'une attestation d'une formation équivalente à une AFP et obtenir la qualification d'employée semi-qualifiée selon la CCT. Or, le salaire annuel pour un employé non qualifié est de CHF 47'400.- et est ainsi inférieur au salaire sans invalidité pour un plein temps retenu par l'OAI de CHF 47'431.-. Il sera du reste relevé que ce salaire est largement supérieur au salaire ressortant des inscriptions figurant au CI de la recourante et donc au revenu de celle-ci en tant qu'indépendante, même si celui-ci n'est en l'occurrence pas déterminant. Par ailleurs, si la recourante affirme faire également valoir son expérience de près de 30 ans dans la coiffure, la CCT ne prévoit pas de salaire augmentant avec les années d'expériences au-delà des premières années (en l'occurrence des trois premières années pour l'année 2024). Au vu de ce qui précède, les éléments avancés par la recourante ne permettent pas de remettre en cause le salaire avec invalidité retenu par l'intimé, ni par voie de conséquence, le taux d'invalidité de 16.26% auquel ce dernier a abouti. Le degré d'invalidité est par conséquent inférieur au seuil ouvrant le droit à un reclassement. Par ailleurs, les autres mesures d'ordre professionnel n’apparaissent pas indiquées dans le cas d’espèce, au vu des activités possibles sans formation et adaptées aux limitations fonctionnelles sur un marché équilibré du travail et dès lors que la recourante n’est pas entravée par son atteinte à la santé dans sa recherche d’emploi. C'est par conséquent à bon droit que l'intimé a refusé d'octroyer à la recourante des mesures d'ordre professionnel.</w:t>
      </w:r>
    </w:p>
    <w:p>
      <w:r>
        <w:rPr>
          <w:b/>
        </w:rPr>
        <w:t>E. 9</w:t>
      </w:r>
    </w:p>
    <w:p>
      <w:r>
        <w:t>Dans ces circonstances, le recours, mal fondé, sera rejeté.</w:t>
      </w:r>
    </w:p>
    <w:p>
      <w:r>
        <w:rPr>
          <w:b/>
        </w:rPr>
        <w:t>E. 10</w:t>
      </w:r>
    </w:p>
    <w:p>
      <w:r>
        <w:t>Bien que la procédure ne soit pas gratuite en matière d’assurance-invalidité (art. 69 al. 1bis LAI), il y a lieu en l’espèce de renoncer à la perception d’un émolument, la recourante étant au bénéfice de l’assistance juridique (art. 12 al. 1 du règlement sur les frais, émoluments et indemnités en procédure administrative du 30 juillet 1986 -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