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A/3244/2007 vom 20. Dezember 2007</w:t>
      </w:r>
    </w:p>
    <w:p>
      <w:r>
        <w:t>GE Cour de justice, 2007-12-20, FR</w:t>
      </w:r>
    </w:p>
    <w:p>
      <w:r>
        <w:rPr>
          <w:b/>
        </w:rPr>
        <w:t xml:space="preserve">Quelle: </w:t>
      </w:r>
      <w:r>
        <w:t>https://mcp.opencaselaw.ch/entscheid/ge_gerichte_A_3244_2007</w:t>
      </w:r>
    </w:p>
    <w:p>
      <w:r>
        <w:t>FR: GE_GERICHTE A/3244/2007 du 20 décembre 2007</w:t>
      </w:r>
    </w:p>
    <w:p>
      <w:r>
        <w:t>IT: GE_GERICHTE A/3244/2007 del 20 dicembre 2007</w:t>
      </w:r>
    </w:p>
    <w:p>
      <w:pPr>
        <w:pStyle w:val="Heading2"/>
      </w:pPr>
      <w:r>
        <w:t>Regeste</w:t>
      </w:r>
    </w:p>
    <w:p>
      <w:r>
        <w:t>Saisie. Usufruit. Réquisition de vente. | L'usufruit en tant que tel est saisissable. La saisie de l'usufruit est toutefois subsidiaire à celle des fruits futurs, en ce sens qu'elle ne peut avoir lieu que si la saisie desdits fruits ne suffit pas à désintéresser les créanciers. On est en l'espèce en présence d'un co-usufruit, auquel s'appliquent les régles sur la copropriété. La part de copropriété est soumise à la procédure de réalisation des immeubles des art. 133 ss LP. En l'espèce, l'Office est invité à procéder à l'estimation de l'usufruit saisi en fonction du produit probable des enchères. | LP.93.1</w:t>
      </w:r>
    </w:p>
    <w:p>
      <w:pPr>
        <w:pStyle w:val="Heading2"/>
      </w:pPr>
      <w:r>
        <w:t>Erwägungen</w:t>
      </w:r>
    </w:p>
    <w:p>
      <w:r>
        <w:rPr>
          <w:b/>
        </w:rPr>
        <w:t>E. 5</w:t>
      </w:r>
    </w:p>
    <w:p>
      <w:r>
        <w:t>En l’espèce, le procès-verbal de saisie ne fait aucune mention de la valeur d’estimation de l’usufruit saisi. Il y a donc lieu de renvoyer le dossier à l’Office afin qu’il procède à l’estimation dudit usufruit en fonction du produit probable des enchères. Il sera, à cet égard, rappelé que l’Office peut, le cas échéant, renoncer à saisir en vertu de l’art. 92 al. 2 LP s’il s’avère que le bien considéré est sans valeur de réalisation. Toutefois, comme dans le cas d’une renonciation à la vente fondée sur l’art. 127 LP, les créanciers saisissants sont en droit d’exiger de l’Office qu’il procède néanmoins à la saisie, puis à la vente du bien, s’ils s’engagent à supporter les frais occasionnés pour le cas où la vente se révélerait caduque (art. 126 LP) ; en outre, l’Office peut subordonner l’exécution de cette mesure à la fourniture de l’avance de frais (SJ 2000 II 221 s.). S’il parvient à la conclusion que l’usufruit saisi est sans valeur de réalisation, l’Office devra interpeller les créanciers saisissants pour qu’ils se déterminent sur leur volonté de le réaliser néanmoins. Dans cette hypothèse, l’Office sera en droit d’exiger une avance de frais du ou des créancier(s) saisissant(s) concerné(s).</w:t>
      </w:r>
    </w:p>
    <w:p>
      <w:r>
        <w:rPr>
          <w:b/>
        </w:rPr>
        <w:t>E. 6</w:t>
      </w:r>
    </w:p>
    <w:p>
      <w:r>
        <w:t>Il est statué sans frais ni dépens (art. 20 al. 2 ch. 5 LP ; art. 61 al. 2 let. a et 62 al. 2 OELP). * * * * * PAR CES MOTIFS, LA COMMISSION DE SURVEILLANCE SIÉGEANT EN SECTION : A la forme : Déclare recevable la plainte pour retard injustifié formée le 17 juillet 2007 par la Banque C______ dans le cadre des poursuites formant la série n° 02 xxxx12 X. Au fond : 1. L’admet partiellement. 2. Annule la décision de reconsidération de l’Office des poursuites rendue le 9 août 2007. 3. Renvoie la cause à l’Office des poursuites. 4. L’invite à procéder dans le sens du considérant 5. 5. Déboute les parties de toutes autres ou contraires conclusions. Siégeant : M. Grégory BOVEY, président ; MM. Didier BROSSET et Christian CHAVAZ,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