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A/323/2007 vom 25. September 2007</w:t>
      </w:r>
    </w:p>
    <w:p>
      <w:r>
        <w:t>GE Cour de justice, 2007-09-25, FR</w:t>
      </w:r>
    </w:p>
    <w:p>
      <w:r>
        <w:rPr>
          <w:b/>
        </w:rPr>
        <w:t xml:space="preserve">Quelle: </w:t>
      </w:r>
      <w:r>
        <w:t>https://mcp.opencaselaw.ch/entscheid/ge_gerichte_A_323_2007</w:t>
      </w:r>
    </w:p>
    <w:p>
      <w:r>
        <w:t>FR: GE_GERICHTE A/323/2007 du 25 septembre 2007</w:t>
      </w:r>
    </w:p>
    <w:p>
      <w:r>
        <w:t>IT: GE_GERICHTE A/323/2007 del 25 settembre 2007</w:t>
      </w:r>
    </w:p>
    <w:p>
      <w:pPr>
        <w:pStyle w:val="Heading2"/>
      </w:pPr>
      <w:r>
        <w:t>Erwägungen</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consiste à déterminer si les atteintes à la santé que présente l'assuré entraînent une incapacité de travail pouvant ouvrir droit, le cas échéant, à des prestations de l'AI.</w:t>
      </w:r>
    </w:p>
    <w:p>
      <w:r>
        <w:rPr>
          <w:b/>
        </w:rPr>
        <w:t>E. 5</w:t>
      </w:r>
    </w:p>
    <w:p>
      <w:r>
        <w:t>Préalablement, toutefois, l'assuré invoque une violation du droit d'être entendu, commise par l'OCAI, en ce sens que cet office ne lui aurait transmis ni la copie du rapport du SMR pour observations, ni copie du dossier complet.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Toutefois,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En l'occurrence, la question de la violation du droit d'être entendu peut rester ouverte, au vu de la jurisprudence précitée. En effet, même si ce droit a été violé, il a été réparé dans la présente procédure, sachant que le Tribunal de céans dispose d'un plein pouvoir de cognition, dès lors que l'assuré a pu prendre connaissance de toutes les pièces du dossier et se déterminer.</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La notion d’invalidité, au sens du droit des assurances sociales, est une notion économique et non médicale ;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Il n'est pas contesté en l'espèce que l'assuré ne peut plus travailler ni comme barman ni comme monteur de faux plafonds. Le Dr B___________ avait en revanche considéré qu'il pouvait exercer une activité adaptée, par exemple dans l'informatique, à 100%. De l'observation faite dans le cadre de l'atelier OSER du 2 août au 16 octobre 2005, il est apparu qu'une orientation dans le secteur industriel, dans une activité respectant les limitations fonctionnelles reconnues médicalement, pouvait être envisagée avec un rendement se rapprochant de ce qui est raisonnablement exigible, mais que le comportement de l'assuré ferait échouer toute mesure. Le 4 avril 2006, le Dr E___________ a fait état d'une aggravation de l'état de santé de son patient, ce qui a conduit l'OCAI à mandater les Drs G___________ et H___________ pour un examen bidisciplinaire. Ces médecins, dans leur rapport du 9 novembre 2006, ont confirmé que l'assuré présentait une capacité entière de travail dans une activité adaptée tenant compte de limitations fonctionnelles portant essentiellement sur l'utilisation de la main droite. Il y a lieu de constater que le rapport des médecins du SMR revêt force probante. Les points litigieux ont fait l'objet d'une étude circonstanciée, le rapport se fonde sur des examens complets, il prend également en considération les plaintes de l'assuré, il a été établi en pleine connaissance de l'anamnèse, la description du contexte médical et l'appréciation de la situation médicale sont claires et enfin les conclusions de l'expert sont dûment motivées. Il y a ainsi lieu de lui accorder toute valeur probante. Qui plus est, ses conclusions sont confirmées par les constatations faites lors du stage dans l'atelier OSER. Il y a par ailleurs lieu de relever que le Dr E___________ ne se détermine pas précisément sur la capacité résiduelle de travail de son patient. Il se borne à rappeler que celui-ci est en arrêt de travail depuis le 23 octobre 2002. Ses observations ne sont dès lors pas suffisantes pour qu'il soit justifié de s'écarter des conclusions des médecins du SMR.</w:t>
      </w:r>
    </w:p>
    <w:p>
      <w:r>
        <w:rPr>
          <w:b/>
        </w:rPr>
        <w:t>E. 9</w:t>
      </w:r>
    </w:p>
    <w:p>
      <w:r>
        <w:t>Reste à déterminer le degré d'invalidité.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 VSI 2002 p. 70).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d'un assuré et de l’empêchement à effectuer des travaux lourds ou de la nécessité d'alterner les positions assis/debout (ATFA non publié du 30 novembre 2001 I 422 /01).</w:t>
      </w:r>
    </w:p>
    <w:p>
      <w:r>
        <w:rPr>
          <w:b/>
        </w:rPr>
        <w:t>E. 10</w:t>
      </w:r>
    </w:p>
    <w:p>
      <w:r>
        <w:t>Le taux d'abattement de 20% retenu par l'OCAI en l'espèce n'est pas critiquable, et prend en considération les importantes limitations fonctionnelles subies par l'assuré. Le Tribunal de céans s'étonne en revanche de la remarque figurant dans le rapport final de réadaptation professionnelle selon laquelle le revenu de l'activité exercée chez X__________ depuis 1998 a été délibérément écarté, au motif que cette activité n'était pas adaptée à l'état de santé de l'assuré, alors que précisément il s'agissait d'évaluer le revenu sans invalidité. Toutefois, même en tenant compte du revenu de poseur de faux plafonds qu'il aurait pu réaliser sans invalidité, le degré d'invalidité obtenu reste inférieur à 40%, taux en deçà duquel aucune rente ne peut être accordée, mais est supérieur à 20%, ce qui pourrait, selon la jurisprudence du TFA, donner droit à d'éventuelles mesures de réadaptation. Le recours est ainsi rejeté, étant précisé qu'aux termes du nouvel art. 18 al. 1 LAI, entré en vigueur le 1 er janvier 2004,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ATFA non publié du 29 mars 2005, I 776/04). La nouvelle teneur de l'art. 18 al. 1 LAI a été adoptée par le Conseil national - suite au retrait d'une proposition plus contraignante encore pour les offices AI - sans discussion (BO CN 2001, p. 1935). Lors du plenum du Conseil des États, la rapporteure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(cf. ATFA du 22 septembre 2005 I 54 /05). Une aide au placement devra dès lors être accordée à l'assuré, pour autant qu'il en fasse la demande par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