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A/3234/2022 vom 22. Februar 2023</w:t>
      </w:r>
    </w:p>
    <w:p>
      <w:r>
        <w:t>GE Cour de justice, 2023-02-22, FR</w:t>
      </w:r>
    </w:p>
    <w:p>
      <w:r>
        <w:rPr>
          <w:b/>
        </w:rPr>
        <w:t xml:space="preserve">Quelle: </w:t>
      </w:r>
      <w:r>
        <w:t>https://mcp.opencaselaw.ch/entscheid/ge_gerichte_A_3234_2022</w:t>
      </w:r>
    </w:p>
    <w:p>
      <w:r>
        <w:t>FR: GE_GERICHTE A/3234/2022 du 22 février 2023</w:t>
      </w:r>
    </w:p>
    <w:p>
      <w:r>
        <w:t>IT: GE_GERICHTE A/3234/2022 del 22 febbraio 2023</w:t>
      </w:r>
    </w:p>
    <w:p>
      <w:pPr>
        <w:pStyle w:val="Heading2"/>
      </w:pPr>
      <w:r>
        <w:t>Erwägungen</w:t>
      </w:r>
    </w:p>
    <w:p>
      <w:r>
        <w:rPr>
          <w:b/>
        </w:rPr>
        <w:t>E. 4</w:t>
      </w:r>
    </w:p>
    <w:p>
      <w:r>
        <w:t>Interjeté dans les forme et délai prévus par la loi devant l'autorité compétente, le recours est en conséquence recevable (art. 56 ss LPGA).![endif]&gt;![if&gt;</w:t>
      </w:r>
    </w:p>
    <w:p>
      <w:r>
        <w:rPr>
          <w:b/>
        </w:rPr>
        <w:t>E. 5</w:t>
      </w:r>
    </w:p>
    <w:p>
      <w:r>
        <w:t>Le litige porte sur la quotité de la rente à laquelle la recourante a droit, sur le calcul des intérêts qui lui sont dus et sur le principe et la quotité du paiement rétroactif, au titre de compensation, de CHF 8'991.05 en faveur de la SWICA.![endif]&gt;![if&gt;</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naissance.![endif]&gt;![if&gt;</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ATF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135 V 39 consid. 6.1 et la référence).![endif]&gt;![if&gt;</w:t>
      </w:r>
    </w:p>
    <w:p>
      <w:r>
        <w:rPr>
          <w:b/>
        </w:rPr>
        <w:t>E. 9</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10</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w:t>
      </w:r>
    </w:p>
    <w:p>
      <w:r>
        <w:rPr>
          <w:b/>
        </w:rPr>
        <w:t>E. 11</w:t>
      </w:r>
    </w:p>
    <w:p>
      <w:r>
        <w:t>En l’espèce, la recourante semble contester les taux d’incapacité retenus par l’intimé, soit 100 % du 1er juillet 2019 au 3 novembre 2019, de 80 % par la suite, ce jusqu’au 5 janvier 2020, puis de 70 % jusqu’au 31 août 2020 et enfin de 60 % depuis lors. Elle s’étonne en particulier de ne pas avoir été convoquée par un médecin du SMR et de ne pas avoir reçu une copie de ses conclusions. Elle sollicite donc la mise en œuvre d’une expertise psychique et physique. ![endif]&gt;![if&gt; La chambre de céans relève cependant que les taux d’incapacité pris en compte dans la décision entreprise correspondent à ceux indiqués par le Dr C______, médecin traitant de la recourante, dans ses rapports réguliers, que le SMR a estimé convaincants (cf. pièce 36 int.). L’intéressée n’explique nullement en quoi ces avis seraient erronés, ni ne fait d’ailleurs état d’une autre évaluation possible de sa capacité de travail justifiant leur remise en cause. Dans ces circonstances, il est superflu de mettre en œuvre une expertise ou une quelconque autre mesure d’instruction complémentaire, l’évaluation de l’incapacité de travail retenue dans la décision entreprise étant convaincante. Il sied en outre de souligner que c’est à tort que la recourante indique qu’elle n’a pas eu accès aux informations pertinentes pour l’appréciation médicale de sa situation, dans la mesure où elles figurent au dossier administratif dont copie lui a été remise le 24 novembre 2021 (pièce 47 int.). En outre, le degré d’incapacité de travail auquel l’intimé a abouti figure sur son projet de décision du 31 janvier 2021, adressé à la recourante et relativement auquel elle n’a émis aucune remarque.</w:t>
      </w:r>
    </w:p>
    <w:p>
      <w:r>
        <w:rPr>
          <w:b/>
        </w:rPr>
        <w:t>E. 11.1</w:t>
      </w:r>
    </w:p>
    <w:p>
      <w:r>
        <w:t>La recourante se questionne par ailleurs sur la prise en compte de l’accident dont elle a été victime le 20 juillet 2021 et qui a entraîné une nouvelle incapacité de travail à 100 % dès cette date, du fait, cette fois, d’une capsulite à l’épaule droite. À juste titre, cet événement n’a pas été intégré par l’intimé dans sa décision. ![endif]&gt;![if&gt; Selon une jurisprudence constante, une aggravation de l'état de santé ne justifie pas, en principe, un nouveau cas d'assurance (arrêt du Tribunal fédéral 9C_592/2015 du 2 mai 2015 consid. 3.2). Toutefois, si les causes de l'invalidité sont matériellement différentes, un nouvel événement assuré survient (arrêts du Tribunal fédéral 8C_93/2017 du 30 mai 2017 consid. 4.2 et 9C_592/2015 , déjà cité, consid 3.2). La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consid. 5). En l’espèce, la capsulite à l’épaule droite constitue une nouvelle atteinte à la santé totalement distincte de la précédente. Elle représente ainsi un nouveau cas d’assurance ouvrant un nouveau délai d’attente d’un an venu à échéance le 20 juillet 2022, soit postérieurement à la décision de l’intimé. Elle ne fait donc pas partie de l’objet du litige. En outre, la fin du délai d’attente est également postérieur à l’ouverture du droit à la rente AVS mettant un terme au droit à la rente invalidité (art. 30 LAI), de sorte que cette nouvelle atteinte, si tant est que ses effets aient perduré, ne pouvait de toute manière pas ouvrir un droit à une rente sous l’angle de l’assurance-invalidité. L’évaluation de l’incapacité de travail par l’intimé n’est ainsi pas critiquable.</w:t>
      </w:r>
    </w:p>
    <w:p>
      <w:r>
        <w:rPr>
          <w:b/>
        </w:rPr>
        <w:t>E. 12</w:t>
      </w:r>
    </w:p>
    <w:p>
      <w:r>
        <w:t>Reste à déterminer le degré d'invalidité de la recourante.![endif]&gt;![if&gt;</w:t>
      </w:r>
    </w:p>
    <w:p>
      <w:r>
        <w:rPr>
          <w:b/>
        </w:rPr>
        <w:t>E. 12.1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w:t>
      </w:r>
    </w:p>
    <w:p>
      <w:r>
        <w:rPr>
          <w:b/>
        </w:rPr>
        <w:t>E. 12.2</w:t>
      </w:r>
    </w:p>
    <w:p>
      <w:r>
        <w:t>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la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du Tribunal fédéral 9C_826/2017 du 28 mai 2018 consid. 5.2 ; 9C_106/2011 du 14 octobre 2011 consid. 4.3, I 83/97 du 16 octobre 1997 consid. 2c, in VSI 1998 p. 121, et I 432/97 du 30 mars 1998 consid. 4a, in VSI 1998 p. 255). Il convient de distinguer clairement la situation personnelle de la personne assurée, seule déterminante au regard de l'assurance-invalidité, de celle de l'entreprise dont elle est la propriétaire économique (arrêt du Tribunal fédéral 9C_572/2010 du 25 mars 2011, consid. 3.5 in fine).![endif]&gt;![if&gt;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La méthode extraordinaire est souvent utilisée pour les indépendants, principalement ceux qui travaillent dans l'agriculture ou qui exercent un métier manuel lorsque, en raison de leur état de santé, ils se voient contraints d'abandonner l'activité qu'ils exercent à titre principal et de modifier la structure de leur exploitation par l'engagement de nouveaux collaborateurs (Michel VALTERIO, Droit de l'assurance-vieillesse et survivants [AVS] et de l'assurance-invalidité [AI], Fribourg 2011, n. 2183 p. 588). Selon la jurisprudence, la comparaison des résultats d'exploitation réalisés dans une entreprise artisanale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artisanale dépendent souvent de nombreux paramètres difficiles à apprécier, tels que la situation conjoncturelle, la concurrence, l'aide ponctuelle de membres de la famille, des personnes intéressées dans l'entreprise ou des collaborateurs. Généralement, les documents comptables ne permettent pas, en pareils cas, de distinguer la part du revenu qu'il faut attribuer à ces facteurs (étrangers à l'invalidité) et celle qui revient à la propre prestation de travail de l'assuré (arrêts du Tribunal fédéral 9C_46/2016 du 10 août 2016 consid. 2.1 et 9C_236/2009 du 7 octobre 2009 consid. 3.3).</w:t>
      </w:r>
    </w:p>
    <w:p>
      <w:r>
        <w:rPr>
          <w:b/>
        </w:rPr>
        <w:t>E. 13</w:t>
      </w:r>
    </w:p>
    <w:p>
      <w:r>
        <w:t>En l’espèce, la recourante ne soulève pas de grief précis contre le calcul de son taux d’invalidité. Elle se contente d’expliquer qu’en comparant ce qu’elle aurait pu gagner sans invalidité à ce qu’elle pourrait obtenir en exerçant une activité raisonnablement exigible sur un marché du travail équilibré, l’intimé fait usage de beaucoup de conditionnels. C’est pourtant bien ce que prévoit l’art. 16 LPGA, dont l’application par l’intimé n’est pas critiquable in casu.![endif]&gt;![if&gt; La recourante a cotisé en tant qu’indépendante depuis 1994. Elle a exercé en dernier lieu comme masseuse et coach. Depuis 2016 (année de la remise des locaux où elle exerçait précédemment) et jusqu’à sa retraite anticipée, le 30 novembre 2021, elle a prodigué ses soins au domicile de ses clients. Elle ne fait état d’aucun facteur extérieur à l’invalidité susceptible d’affecter les résultats de son exploitation, de sorte que l’application de la méthode de comparaison des revenus par l’intimé est effectivement indiquée. Il ressort des comptes d’exploitation produits par la recourante que son activité était déficitaire de 2013 à 2015, puis que les bénéfices sont restés maigres, soit CHF 811.- en 2016, CHF 8'794.- en 2017 et CHF 7'176.- en 2018. Au terme de son enquête économique (pièce 49 int.), l’intimé relève que la faiblesse de ces montants ne reflète pas l’ampleur de l’activité accomplie par l’assurée durant ses dernières années d’activité et résulte notamment de ce que certaines charges admissibles d’un point de vue fiscal grèvent le bénéfice final. Dès lors, elle a opté pour une comparaison des chiffres d’affaires, cette méthode étant plus représentative de la capacité de travail de l’intéressée sans atteinte à la santé. La chambre de céans relève que ce choix est non seulement conforme à la loi et cohérent, mais qu’il est également plus avantageux pour la recourante qu’une comparaison de ses bénéfices, lesquelles étaient déjà très bas avant la survenance de l’invalidité. Très concrètement, l’intimé s’est basée pour le calcul du gain sans invalidité, sur la moyenne des produits d’exploitation des deux années complètes ayant précédé l’incapacité de travail, soit 2017 (CHF 21'692.-) et 2018 (CHF 21'300,-). Il sied de souligner que la limitation à cette seule période avantage la recourante, dans la mesure où les chiffres d’affaires des années 2016 (CHF 13'400.-) et 2015 (CHF 8’854.-) étaient largement inférieurs. Concernant le gain avec invalidité, l’intimé a pris en compte le produit d’exploitation des douze mois du délai de carence (CHF 10'370.-), soit la période ayant directement suivi le début de l’incapacité de travail. Il résulte de la comparaison de ces revenus une perte de gain de 52 %, que l’intimé reconnait comme entièrement due à l’atteinte à la santé incapacitante. Le calcul de l’invalidité est conforme à la loi et n’est pas critiquable.</w:t>
      </w:r>
    </w:p>
    <w:p>
      <w:r>
        <w:rPr>
          <w:b/>
        </w:rPr>
        <w:t>E. 13.1</w:t>
      </w:r>
    </w:p>
    <w:p>
      <w:r>
        <w:t>La recourante se plaint encore du délai de carence d’une année qui lui est appliqué et qui serait injuste. Celui-ci ressort cependant explicitement de l’art. 28 al. 1 let. b et c LAI, de sorte que l’intimé ne peut y déroger.![endif]&gt;![if&gt; Au vu de ces éléments, c’est à juste titre que l’intimé a reconnu à la recourante un degré d’invalidité de 52 % ouvrant un droit à une demi-rente, dès le 1 er juillet 2020, fin du délai de carence d’un an.</w:t>
      </w:r>
    </w:p>
    <w:p>
      <w:r>
        <w:rPr>
          <w:b/>
        </w:rPr>
        <w:t>E. 14</w:t>
      </w:r>
    </w:p>
    <w:p>
      <w:r>
        <w:t>La recourante s’oppose ensuite au montant de la compensation externe opérée en faveur de la SWICA, portant sur un montant de CHF 8'991.05.![endif]&gt;![if&gt; Selon l’art. 20 al. 2 LPGA, les prestations versées à un tiers ou à une autorité ne peuvent pas être compensées par ce tiers ou cette autorité avec des créances contre l’ayant droit. Fait exception la compensation en cas de versement rétroactif de prestations au sens de l’art. 22 al. 2. L’art. 22 al. 2 LPGA prévoit que les prestations accordées rétroactivement par l'assureur social peuvent en revanche être cédées : à l'employeur ou à une institution d'aide sociale publique ou privée dans la mesure où ceux-ci ont consenti des avances (let. a) ; à l'assureur qui a pris provisoirement à sa charge des prestations (let. b). En dehors de l'art. 20 al. 2 LPGA, la LPGA ne contient pas de norme générale sur la compensation. Ce mode d'extinction des créances est donc régi par les dispositions des lois spéciales (ATF 138 V 402 consid. 4.2 p. 405), en l’occurrence la LAI et son règlement d’application.</w:t>
      </w:r>
    </w:p>
    <w:p>
      <w:r>
        <w:rPr>
          <w:b/>
        </w:rPr>
        <w:t>E. 14.1</w:t>
      </w:r>
    </w:p>
    <w:p>
      <w:r>
        <w:t>Selon l’art. 85bis règlement du 17 janvier 1961 sur l’assurance-invalidité du 17 janvier 1961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l'OAI (al. 1). Sont considérées comme une avance, les prestations : librement consenties, que l'assuré s'est engagé à rembourser, pour autant qu'il ait convenu par écrit que l'arriéré serait versé au tiers ayant effectué l'avance (al. 2 let.a) ; versées contractuellement ou légalement, pour autant que le droit au remboursement, en cas de paiement d'une rente, puisse être déduit sans équivoque du contrat ou de la loi (al. 2 let. b). Les arrérages de rente peuvent être versés à l'organisme ayant consenti une avance jusqu'à concurrence, au plus, du montant de celle-ci et pour la période à laquelle se rapportent les rentes (al. 3).![endif]&gt;![if&gt;</w:t>
      </w:r>
    </w:p>
    <w:p>
      <w:r>
        <w:rPr>
          <w:b/>
        </w:rPr>
        <w:t>E. 14.2</w:t>
      </w:r>
    </w:p>
    <w:p>
      <w:r>
        <w:t>Les avances librement consenties selon l'art. 85bis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1er septembre 2016).![endif]&gt;![if&gt; De jurisprudence constante, les prestations des assurances d’indemnités journalières conformément à la loi sur le contrat d'assurance du 2 avril 1908 (LCA - RS 221.229.1) sont des prestations au sens de l'art. 85bis al. 2 RAI (arrêt du Tribunal fédéral 9C_926/2010 du 4 août 2011 consid. 4.2 et les références).</w:t>
      </w:r>
    </w:p>
    <w:p>
      <w:r>
        <w:rPr>
          <w:b/>
        </w:rPr>
        <w:t>E. 14.3</w:t>
      </w:r>
    </w:p>
    <w:p>
      <w:r>
        <w:t>Le Tribunal fédéral s’est prononcé à plusieurs reprises sur l’existence d’un droit sans équivoque au remboursement d’avances en matière d’assurances complémentaires. Il a ainsi nié l’existence d’un tel droit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5b/bb).![endif]&gt;![if&gt;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w:t>
      </w:r>
    </w:p>
    <w:p>
      <w:r>
        <w:rPr>
          <w:b/>
        </w:rPr>
        <w:t>E. 14.4</w:t>
      </w:r>
    </w:p>
    <w:p>
      <w:r>
        <w:t>En l’espèce, les indemnités journalières ont été versées par la SWICA à la recourante en vertu d'un contrat collectif d’indemnités journalières soumis à la LCA. L’art. 28 des CGA, édition 2006, prévoit que si le droit à une rente découlant d’une assurance d’État ou d’entreprise n’est pas encore établi, l’assureur peut avancer à bien plaire l’indemnité journalière assurée. Dans ce cas, l’assureur exige le remboursement des prestations versées en trop à compter de la date du début du droit à la rente. Il est libre de réclamer le montant dû soit auprès de l’assuré lui-même soit auprès de l’assureur débiteur de la rente. L’avance éventuelle est accordée sous la réserve expresse d’un remboursement à la date du versement des arriérés de rente dus. Le remboursement porte sur un montant correspondant à la rente due au cours de la même période. L’assuré cède à l’assureur ses droits pécuniaires à l’encontre des autres assureurs jusqu’à concurrence du montant des avances versées.![endif]&gt;![if&gt; Au vu de la jurisprudence, cette disposition contractuelle est suffisamment claire et univoque pour permettre à SWICA de s’adresser directement à l’intimé pour obtenir le versement de l'arriéré de la rente d'invalidité en compensation de son avance. La formulation est en outre très proche de celle dont le Tribunal fédéral a eu à connaître dans son arrêt 9C_488/2010 du 16 août 2011 (concernant également la SWICA) où il a abouti à la même conclusion. Le principe de la compensation tel qu’il figure dans la décision attaquée n’est pas critiquable.</w:t>
      </w:r>
    </w:p>
    <w:p>
      <w:r>
        <w:rPr>
          <w:b/>
        </w:rPr>
        <w:t>E. 14.5</w:t>
      </w:r>
    </w:p>
    <w:p>
      <w:r>
        <w:t>Pour le surplus, la chambre de céans rappelle que 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 voir également l’arrêt du Tribunal fédéral des assurances I 256/06 du 26 septembre 2007 consid. 6). La caisse de compensation doit uniquement vérifier si la demande de compensation porte effectivement sur des avances consenties dans l’attente du versement de la rente et si ces avances ont été versées pour la période couverte par le paiement rétroactif de la rente. ![endif]&gt;![if&gt;</w:t>
      </w:r>
    </w:p>
    <w:p>
      <w:r>
        <w:rPr>
          <w:b/>
        </w:rPr>
        <w:t>E. 14.6</w:t>
      </w:r>
    </w:p>
    <w:p>
      <w:r>
        <w:t>En l’espèce, il ressort tant de l’art. 28 des CGA précité que du courrier 30 octobre 2019 que la SWICA a adressé à la recourante que les indemnités journalières étaient versées dans l’attente du versement de la rente et que le montant d’une éventuelle surindemnisation devrait être restitué une fois établis ses droits découlant de l’AI.![endif]&gt;![if&gt; La SWICA fait par ailleurs état, dans son courrier du 25 mai 2022, de versements d’indemnités journalières en faveur de la recourante à hauteur de CHF 22’277.90 pour la période du 1 er juillet 2020 au 1 er juillet 2021 (annexe 4 rec.), montant correspond aux décomptes produits (annexe 2 rec.). Pour cette exacte même période, l’intimé a octroyé à la recourante des rentes pour un total de CHF 9'000.- (6 mois x CHF 747.- et 6 mois x CHF 753.-), soit un montant inférieur aux avances. Le principe de la compensation opérée par l’intimé n’est donc pas critiquable. Pour le surplus, concernant d’éventuelles objections à l’encontre des montants de la compensation, comme rappelé ci-avant, elles ne peuvent être soulevées dans le cadre de la présente procédure et doivent l’être directement auprès de la SWICA. Les griefs de la recourante relatifs à la compensation en faveur de la SWICA à hauteur de CHF 8'991.05 sont donc également écartés.</w:t>
      </w:r>
    </w:p>
    <w:p>
      <w:r>
        <w:rPr>
          <w:b/>
        </w:rPr>
        <w:t>E. 15</w:t>
      </w:r>
    </w:p>
    <w:p>
      <w:r>
        <w:t>La recourante considère enfin que le montant des intérêts moratoires de CHF 47.- relatif au rétroactif de rentes est erroné. ![endif]&gt;![if&gt; Selon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point de départ du délai de vingt-quatre mois correspond au moment de la naissance du droit. Pour chaque prestation, il faut consulter la loi spéciale applicable pour déterminer à quel moment naît le droit à cette prestation (Sylvie PÉTREMAND, Commentaire romand, Loi sur la partie générale des assurance sociales, 2018, n. 36 ad art. 26 LPGA). L'obligation de payer des intérêts moratoires commence vingt-quatre mois après la naissance du droit en tant que tel pour l'ensemble des prestations courues jusque-là, et non pas seulement deux ans après l'exigibilité de chaque prestation (ATF 133 V 9 , consid. 3.6 ; ATAS/559/2019 du 24 juin 2019 consid. 11a). L'art. 7 de l'ordonnance sur la partie générale du droit des assurances sociales du 11 septembre 2002 (OPGA - RS 830.11) précise que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w:t>
      </w:r>
    </w:p>
    <w:p>
      <w:r>
        <w:rPr>
          <w:b/>
        </w:rPr>
        <w:t>E. 15.1</w:t>
      </w:r>
    </w:p>
    <w:p>
      <w:r>
        <w:t>Par définition et contrairement à ce que semble penser la recourante, les intérêts moratoires ne peuvent porter que sur la somme de CHF 3'774.- qui représente le seul montant dont elle n’a pas pu jouir avant la décision entreprise. Le solde du rétroactif, soit CHF 8'991.05, correspond à des montants lui ayant été avancés par la SWICA, de sorte qu’elle a pu en bénéficier sans retard et qu’ils n’ouvrent aucun droit à des intérêts moratoires. ![endif]&gt;![if&gt; C’est sur le montant de CHF 3'774.- qu’il convient donc de calculer les intérêts, qui s’élèvent bien à CHF 188.70 par année (CHF 3'774.- x 5 %). Le droit de la recourante à une rente étant né en juillet 2020, il porte intérêt vingt-quatre mois plus tard, soit dès juillet 2022. La décision entreprise ayant été rendue le 1 er septembre 2022, ce sont trois mois d’intérêts moratoires qui sont dus, soit, effectivement CHF 47.- (CHF 188.70 / 12 mois x 3 mois). La décision de l’intimé doit donc également être confirmée sur ce point.</w:t>
      </w:r>
    </w:p>
    <w:p>
      <w:r>
        <w:rPr>
          <w:b/>
        </w:rPr>
        <w:t>E. 16</w:t>
      </w:r>
    </w:p>
    <w:p>
      <w:r>
        <w:t>Au vu de ce qui précède, le recours sera rejeté et la recourante condamnée au paiement d'un émolument de CHF 200.- (art. 69 al.1bis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