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A/3229/2018 vom 31. Oktober 2018</w:t>
      </w:r>
    </w:p>
    <w:p>
      <w:r>
        <w:t>GE Cour de justice, 2018-10-31, FR</w:t>
      </w:r>
    </w:p>
    <w:p>
      <w:r>
        <w:rPr>
          <w:b/>
        </w:rPr>
        <w:t xml:space="preserve">Quelle: </w:t>
      </w:r>
      <w:r>
        <w:t>https://mcp.opencaselaw.ch/entscheid/ge_gerichte_A_3229_2018</w:t>
      </w:r>
    </w:p>
    <w:p>
      <w:r>
        <w:t>FR: GE_GERICHTE A/3229/2018 du 31 octobre 2018</w:t>
      </w:r>
    </w:p>
    <w:p>
      <w:r>
        <w:t>IT: GE_GERICHTE A/3229/2018 del 31 ottobre 2018</w:t>
      </w:r>
    </w:p>
    <w:p>
      <w:pPr>
        <w:pStyle w:val="Heading2"/>
      </w:pPr>
      <w:r>
        <w:t>Volltext</w:t>
      </w:r>
    </w:p>
    <w:p>
      <w:r>
        <w:t>Genève Cour de justice (Cour de droit public) Chambre administrative 31.10.2018 A/3229/2018</w:t>
      </w:r>
    </w:p>
    <w:p>
      <w:r>
        <w:t>A/3229/2018 ATA/1164/2018 du 31.10.2018 ( FPUBL ) , REFUSE RÉPUBLIQUE ET CANTON DE GENÈVE POUVOIR JUDICIAIRE A/3229/2018 - FPUBL " ATA/1164/2018 ![endif]--&gt; COUR DE JUSTICE Chambre administrative Décision du 31 octobre 2018 sur effet suspensif dans la cause Monsieur A______ représenté par Me Robert Assael, avocat contre VILLE DE GENÈVE Vu le recours interjeté le 14 septembre 2018 par Monsieur A______ contre la décision de la Ville de Genève (ci-après : la ville) du 25 juillet 2018 prononçant la résiliation immédiate des rapports de service, pour justes motifs, avec effet rétroactif au 27 juin 2018, décision déclarée exécutoire nonobstant recours ; que le recourant demande l’annulation de cette décision et sa réintégration dans ses dernières fonctions ; qu’à titre préalable, il sollicite la restitution de l’effet suspensif, exposant qu’aucun intérêt public ou privé ne s’oppose à cette restitution, que l’exécution de la décision le plongerait, ainsi que sa famille, dans une situation financière inextricable et lui créerait un dommage irréparable et contestant, pour le surplus, les faits qui lui sont reprochés  ; que la ville a conclu au rejet de la requête de restitution d’effet suspensif ; que, sur réplique sur effet suspensif, le recourant a persisté dans ses conclusions, insistant non seulement sur son absence de revenus, sur le salaire de son épouse, insuffisant pour assurer les charges familiales, ainsi que sur la réclamation de la ville du 21 septembre 2018 en restitution du traitement du mois de juillet 2018, au vu de l’effet rétroactif de la décision ; considérant, en droit, l’art. 9 al. 1 du règlement interne de la chambre administrative de la Cour de justice du 26 septembre 2017, à teneur duquel les décisions sur effet suspensif sont prises par la présidente de ladite chambre, respectivement par la vice-présidente, ou en cas d’empêchement de celles-ci,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RDAF 2002 I 405 )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la chambre de céans dispose dans l’octroi de mesures provisionnelles d'un large pouvoir d'appréciation (ibidem) ; qu’en l’espèce, sur la base d’un examen sommaire du dossier et compte tenu des reproches énoncés de manière circonstanciée par l’intimée, pièces à l’appui, il ne saurait en l’état, prima facie, être considéré que le recours serait manifestement bien fondé ; qu’en outre, le préjudice financier invoqué par le recourant n’est étayé que par quelques pièces ne permettant pas d’avoir une vision globale de la situation familiale, notamment des charges ou de l’état de fortune de celle-ci ; que, de surcroît, conformément à la jurisprudence constante de la chambre de céans, l’intérêt privé du recourant à conserver son activité professionnelle et les revenus y relatifs doit céder le pas à l’intérêt public à la préservation des finances de l’État ( ATA/826/2018 du 15 août 2018 ; ATA/471/2016 du 6 juin 2016 et les références citées) ; qu’enfin, l’intérêt public à l’exécution immédiate de la décision querellée, l’emporte sur celui du recourant à obtenir l’effet suspensif, compte tenu des reproches adressés au recourant, incompatibles, prima facie, avec son rôle de formateur ; que, partant, la requête de restitution d’effet suspensif doit être rejetée ; qu’il sera statué sur les frais de l’incident avec la décision au fond. LA CHAMBRE ADMINISTRATIVE rejette la requête d’effet suspensif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à Me Robert Assael, avocat du recourant ainsi qu'à la Ville de Genève. La vice-présidente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