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A/3222/2006 vom 30. Juni 2004</w:t>
      </w:r>
    </w:p>
    <w:p>
      <w:r>
        <w:t>GE Cour de justice, 2004-06-30, FR</w:t>
      </w:r>
    </w:p>
    <w:p>
      <w:r>
        <w:rPr>
          <w:b/>
        </w:rPr>
        <w:t xml:space="preserve">Quelle: </w:t>
      </w:r>
      <w:r>
        <w:t>https://mcp.opencaselaw.ch/entscheid/ge_gerichte_A_3222_2006</w:t>
      </w:r>
    </w:p>
    <w:p>
      <w:r>
        <w:t>FR: GE_GERICHTE A/3222/2006 du 30 juin 2004</w:t>
      </w:r>
    </w:p>
    <w:p>
      <w:r>
        <w:t>IT: GE_GERICHTE A/3222/2006 del 30 giugno 2004</w:t>
      </w:r>
    </w:p>
    <w:p>
      <w:pPr>
        <w:pStyle w:val="Heading2"/>
      </w:pPr>
      <w:r>
        <w:t>Erwägungen</w:t>
      </w:r>
    </w:p>
    <w:p>
      <w:r>
        <w:rPr>
          <w:b/>
        </w:rPr>
        <w:t>E. 5</w:t>
      </w:r>
    </w:p>
    <w:p>
      <w:r>
        <w:t>Selon l'art. 41 LAI, dans sa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109 V 265 consid. 4a ; 106 V 87 consid. 1a ; 105 V 30 ; ATF 112 V 372 consid. 2b et 390 consid. 1b). Le nouvel 17 al. 2 LPGA, qui stipule que si le taux d’invalidité du bénéficiaire de la rente subit une modification notable, la rente est d’office ou sur demande, révisée pour l’avenir, à savoir augmentée ou réduite en conséquence, ou encore supprimée, n'a pas apporté de modification aux principes jurisprudentiels développés sur la base de l’art. 41 LAI sous le régime du droit en vigueur jusqu'au 31 décembre 2002 (ATFA du 30 avril 2004, en la cause I 626/03, consid. 3.5). En outre, selon l’art. 87 al. 2 du règlement sur l’assurance-invalidité du 17 janvier 1961 (RAI), la révision a lieu d’office lorsqu’en prévision d’une modification importante possible du degré d’invalidité ou d’impotence, un terme a été fixé au moment de l’octroi de la rente ou de l’allocation pour impotent, ou lorsque des organes de l’assurance ont eu connaissance de faits ou ordonnent des mesures qui peuvent entraîner une modification importante du degré d’invalidité ou d’impotence.</w:t>
      </w:r>
    </w:p>
    <w:p>
      <w:r>
        <w:rPr>
          <w:b/>
        </w:rPr>
        <w:t>E. 6</w:t>
      </w:r>
    </w:p>
    <w:p>
      <w:r>
        <w:t>Aux termes de l'art. 8 LPGA,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7</w:t>
      </w:r>
    </w:p>
    <w:p>
      <w:r>
        <w:t>Les atteintes à la santé psychique peuvent, comme les atteintes physiques, entraîner une invalidité au sens de la loi.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consid. 1.2.). Enfin, selon la doctrine médicale (cf. notamment DILLING / MOMBOUR / SCHMIDT [éd.], Internationale Klassifikation psychischer Störungen, ICD-10 Kapitel V [F], 4ème édition, p. 191), sur laquelle se fonde le Tribunal fédéral des assurances,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358 consid. 3.3.1 in fine; Meyer-Blaser, op. cit., p. 81, note 135).</w:t>
      </w:r>
    </w:p>
    <w:p>
      <w:r>
        <w:rPr>
          <w:b/>
        </w:rPr>
        <w:t>E. 8</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122 V 160 consid. 1c et les références). Il convient enfin de préciser que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rPr>
          <w:b/>
        </w:rPr>
        <w:t>E. 9</w:t>
      </w:r>
    </w:p>
    <w:p>
      <w:r>
        <w:t>En l’occurrence, l'OCAI, avant de rendre sa décision en 2004, a soumis le recourant à une expertise rhumatologique ainsi qu’à une expertise psychiatrique. C'est sur la base du rapport rendu par les experts en date du 19 mars 2004 que l'OCAI a mis l'assuré au bénéfice d'une demi-rente d'invalidité. A l'époque, ont été retenus à titre de diagnostics invalidants : une personnalité paranoïaque non compensée et un épisode dépressif léger sans syndrome somatique. Ont également été mentionnés, étant précisé qu'ils étaient sans répercussion sur la capacité de travail : un syndrome douloureux persistant, des troubles dégénératifs radiologiquement modérés du rachis dorsal, un œsophage de Barett et la persistance d'un corps étranger dans l'œil gauche. Alors même que le médecin-traitant de l'assuré concluait à une totale incapacité de travail, les experts, ont estimé que, sur le plan physique, les atteintes organiques n'entraînaient pas de limitations significatives, qu'en revanche, la personnalité paranoïaque non compensée et l'épisode dépressif léger engendraient des limitations quantitatives mais seulement à hauteur de 50% dans l'activité exercée jusqu'alors. Certes, il ressort de l'anamnèse faite par le Dr E__________ dans son dernier rapport que les douleurs dorsales de l'assuré ont augmenté de manière très importante en parallèle avec son état dépressif qui s'est aggravé au point qu'il ait des idées de meurtre envers son patron et des idées de suicide qui ont nécessité une hospitalisation non volontaire à Belle-Idée. Le médecin fait également référence au syndrome douloureux dont il indique qu'il s'est compliqué dès 2003 de douleurs du globe oculaire gauche. Force est cependant de constater que ces faits sont antérieurs à la décision initiale de l'OCAI et qu'ils ont été pris en compte par les experts à ce moment-là. Il ne s'agit donc pas de faits nouveaux puisqu'il apparaît que le syndrome douloureux ne s'est pas aggravé postérieurement à la décision initiale. Le seul fait nouveau intervenu depuis la décision de l'OCAI d'octroyer à l'assuré une demi-rente consiste dans les douleurs urologiques. Le Dr E__________ a indiqué que de nombreuses investigations avaient permis de retenir le diagnostic de spasticité vésicale et de pratiquer une incision vésico-prostatique. Les troubles mictionnels se sont alors améliorés mais des douleurs ont persisté et sont restées inexpliquées. Il ressort du rapport du Dr E__________ que le syndrome douloureux a persisté mais de manière plus atténuée et a concerné alors surtout les douleurs urologiques. Il a précisé que le patient mangeait et se déplaçait normalement, était capable de conduire sa voiture sur de longues distances et ne rencontrait ni troubles digestifs ni troubles mictionnels; il restait d'humeur dépressive. Il ressort également de son rapport que le patient rencontre peu de troubles fonctionnels puisqu'il bouge et se déplace normalement. Certes, le Dr E__________ conclut à des troubles somatoformes douloureux graves avec troubles psychiatriques graves mais il ressort de son rapport qu'il n'y a pas eu aggravation depuis la période qui a précédé la décision initiale de l'OCAI, au contraire, puisque le trouble somatoforme s'est atténué. Il s'agit donc simplement d'une appréciation médicale différente de celle des experts du COMAI, laquelle s'est vu reconnaître à l'époque entière valeur probante. Celle-ci ne saurait par ailleurs être remise en cause par le rapport du médecin traitant. Il convient de rappeler à cet égard que le juge peut et doit tenir compte du fait que, selon l’expérience, le médecin traitant est généralement enclin, en cas de doute, à prendre parti pour son patient en raison de la relation de confiance qui l’unit à ce dernier.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