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A/3217/2024 vom 18. November 2025</w:t>
      </w:r>
    </w:p>
    <w:p>
      <w:r>
        <w:t>GE Cour de justice, 2025-11-18, FR</w:t>
      </w:r>
    </w:p>
    <w:p>
      <w:r>
        <w:rPr>
          <w:b/>
        </w:rPr>
        <w:t xml:space="preserve">Quelle: </w:t>
      </w:r>
      <w:r>
        <w:t>https://mcp.opencaselaw.ch/entscheid/ge_gerichte_A_3217_2024</w:t>
      </w:r>
    </w:p>
    <w:p>
      <w:r>
        <w:t>FR: GE_GERICHTE A/3217/2024 du 18 novembre 2025</w:t>
      </w:r>
    </w:p>
    <w:p>
      <w:r>
        <w:t>IT: GE_GERICHTE A/3217/2024 del 18 novembre 2025</w:t>
      </w:r>
    </w:p>
    <w:p>
      <w:pPr>
        <w:pStyle w:val="Heading2"/>
      </w:pPr>
      <w:r>
        <w:t>Erwägungen</w:t>
      </w:r>
    </w:p>
    <w:p>
      <w:r>
        <w:rPr>
          <w:b/>
        </w:rPr>
        <w:t>E. 14</w:t>
      </w:r>
    </w:p>
    <w:p>
      <w:r>
        <w:t>novembre 2024 et lui a accordé un délai au 11 décembre 2024 pour transmettre l'ensemble des documents concernant les indemnités RHT reçues. d. Le 8 janvier 2025, la chambre de céans a rappelé au recourant que sa lettre du 20 novembre 2024 était demeurée sans réponse de sa part et l'a prié d'y donner la suite qu'il convenait d'ici au 29 janvier 2025. e. Le 27 janvier 2025, la chambre de céans a reçu un courrier non daté du recourant, indiquant qu'il n'avait jamais reçu la lettre du 20 novembre 2024. f. Par pli du 29 janvier 2025, la chambre de céans lui a envoyé copies de l'écriture de l'intimée du 14 novembre 2024 et de son courrier du 20 novembre 2024, lui accordant un délai au 10 février 2025 pour transmettre les documents concernant les indemnités RHT reçues. g. Dans un courrier du 29 janvier 2025, l’intimée a informé la chambre de céans que la décision litigieuse, adressée par pli recommandé, avait été retirée par le recourant le 3 septembre 2024. h. Par courriers des 19 février et 3 mars 2025, la chambre de céans a adressé des rappels au recourant, l'invitant à produire les pièces requises d'ici au 28 février, respectivement 24 mars 2025. i. Sans nouvelles du recourant, la chambre de céans a demandé à l’intimée de lui transmettre son dossier. j. Par écriture du 30 juin 2025, l’intimée a conclu au rejet du recours. Elle a rappelé que le recourant ne s’était pas acquitté des charges sociales pendant la période durant laquelle il avait géré la société, ni ne s’était assuré que celles-ci soient effectivement payées. Le non-paiement des cotisations sociales correspondait à la période de gestion de la société par le recourant, lequel était indubitablement responsable du dommage causé. Aucun des facteurs d’exculpation, lesquels n’étaient au demeurant admis qu’à titre exceptionnel, n’était réalisé, puisque l’intéressé n’avait pas fait usage de ses droits de contrôle. Il n’avait apporté aucun élément concret pouvant attester des véritables impacts du Covid-19 sur l’activité déployée permettant de démonter une connexion caractérisée pouvant exclure la causalité adéquate qui fondait la responsabilité. Elle a notamment relevé que la société avait été affiliée auprès d’elle à partir du 1 er janvier 2020 seulement et elle avait laissé d’importantes dettes de cotisations paritaires auprès de la précédente caisse professionnelle, ce qui démontrait que le recourant n’avait pas non plus veillé à ce que les cotisations soient intégralement versées en l’absence de toute crise ou empêchement majeur. Enfin, l’employeur avait fait des demandes d’APG-Covid et la société avait reçu des indemnités à ce titre, mais il semblait qu’aucune partie de ces montants n’avait été utilisée pour payer les cotisations paritaires usuelles. Partant, le dossier ne contenait aucun élément pouvant constituer un argument permettant l’exculpation du recourant, dont la responsabilité avait été engagée en tant que gérant. Elle a produit son dossier, comportant notamment les déclarations des salaires pour les années 2020 à 2022, des factures de cotisations paritaires pour les années 2020 à 2022, ainsi que des actes de défaut de biens des 2 août 2021 et</w:t>
      </w:r>
    </w:p>
    <w:p>
      <w:r>
        <w:rPr>
          <w:b/>
        </w:rPr>
        <w:t>E. 17</w:t>
      </w:r>
    </w:p>
    <w:p>
      <w:r>
        <w:t>juin 2024 suite aux poursuites intentées par l’intimée, et une décision sur opposition adressée à F______ le 22 août 2024, similaire à la décision litigieuse. k. Copie de cette écriture a été transmise au recourant le 3 juillet 2025, avec un délai au 18 juillet 2025 pour faire part de ses observations et transmettre toutes les pièces déjà requises. l. Par courrier du 10 septembre 2025, sur demande de la chambre de céans, l’intimée lui a précisé qu’elle avait également notifié à F______ et à E______, le 18 juin 2024, des décisions en réparation du dommage pour un montant de CHF 46'223.90, lesquelles avaient été confirmées sur opposition le 22, respectivement le 26 août 2024. m. Le 15 septembre 2025, la chambre de céans a appelé en cause F______ et E______, lesquels ne se sont pas manifestés. n. Par courrier du 9 octobre 2025, le recourant a demandé à la chambre de céans la « restitution de délai et opposition au jugement par défaut », relevant qu’il n’avait pas pu répondre à la correspondance du tribunal ni défendre ses intérêts dans la procédure car les notifications avaient été adressées à l’ancienne adresse du siège social de la société, dont le contrat de bail avait été résilié. Il a mentionné une première adresse aux États-Unis d’Amérique et une seconde « c/o » dans un restaurant sis à Genève (ci-après : le restaurant). o. Le greffe de la chambre de céans a téléphoné au restaurant le 10 octobre 2025 et appris que l’établissement était fermé dans l’attente d’un changement de gérance, mais que la boîte aux lettres était active et relevée tous les jours. p. Par pli recommandé du 17 octobre 2025, la chambre de céans a transmis au recourant les principales écritures qu’elle lui avait précédemment adressées et lui a accordé un délai au 31 octobre 2025 pour faire valoir des observations et consulter le dossier. Elle lui a rappelé que toute la correspondance avait été envoyée à l’adresse indiquée dans son acte de recours, la seule qui lui avait été indiquée jusqu’au 9 octobre 2025. Elle lui a précisé qu’elle n’avait pas encore statué sur son recours et que les appelés en cause ne s’étaient pas déterminés. q. Cet envoi n’ayant pas été réclamé, la chambre de céans l’a posté une seconde fois par pli simple. r. Sur ce, la cause a été gardée à juger.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31.10). Sa compétence ratione materiae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le 13 avril 2017, la chambre de céans est également compétente ratione loci . 1.3 À teneur de l'art. 1 al. 1 LAVS, les dispositions de la LPGA s'appliquent aux art. 1 à 97 LAVS, à moins que la loi n'y déroge expressément. 1.4 Aux termes de l'art. 60 al. 1 LPGA, le recours doit être déposé dans les trente jours suivant la notification de la décision sujette à recours. Selon l'art. 38 LPGA, applicable par analogie en vertu de l'art. 60 al. 2 LPGA, si le délai, compté par jours ou par mois, doit être communiqué aux parties, il commence à courir dès le lendemain de la communication (al. 1). Une communication qui n’est remise que contre la signature du destinataire ou d’un tiers habilité est réputée reçue au plus tard sept jours après la première tentative infructueuse de distribution (al. 2 bis ). Interjeté dans les formes et délai prévus par la loi, le recours est recevable. 2. Le litige porte sur la responsabilité du recourant dans le préjudice causé à l’intimée, par le défaut de paiement des cotisations sociales (AVS-AI-APG et AC ainsi qu’AMat et AF) durant les années 2020, 2021 et 2022. 3. Selon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3.1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Thierry TANQUEREL / François BELLANGER,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 2013, p. 324 n. 929). 3.2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(ATF 134 V 306 consid. 3 et les références). 3.3 En l’espèce, l’intimée a également adressé des décisions sur opposition à l’encontre de F______ et d’E______, ce qui a justifié l’appel en cause de ces autres associés gérants, lesquels ne se sont pas manifestés. 4. 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4.1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 du Tribunal fédéral H 34/04 du 15 septembre 2004 consid. 5.3.1 et les références, in SVR 2005 AHV n. 7 p. 23 ;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5/2002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117 II 570 consid. 3 ; arrêt du Tribunal fédéral H 128/04 du 14 février 2006 consid. 3). En font typiquement partie les personnes qui, de par la force de leur position (associé majoritaire par exemple), donnent au gérant formel des instructions sur la conduite des affaires de la société (VSI 2000/5 p. 226). Les associés de la Sàrl exercent collectivement la gestion de la société. Les statuts peuvent régler la gestion de manière différente (art. 809 al. 1 CO). Les gérants sont compétents pour toutes les affaires qui ne sont pas attribuées à l’assemblée des associés par la loi ou les statuts (art. 810 al. 1 CO). L’assemblée des associés peut révoquer à tout moment un gérant qu’elle a nommé et chaque associé peut demander au tribunal de retirer ou de limiter les pouvoirs de gestion et de représentation d’un gérant pour de justes motifs, en particulier si le gérant a gravement manqué à ses devoirs ou s’il est devenu incapable de bien gérer la société (art. 815 al. 1 et 2 CO). En outre, l'associé dispose d'un droit aux renseignements sur toutes les affaires de la société (art. 802 al. 1 CO) et doit s'abstenir de tout ce qui porte préjudice aux intérêts de la société (art. 803 al. 1 CO). 4.2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H 305/00 du 6 septembre 2001 consid. 4b). Celui qui appartient au conseil d'administration d'une société et qui ne veille pas au versement des cotisations courantes et à l'acquittement des cotisations arriérées est réputé manquer à ses devoirs (arrêt du Tribunal fédéral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Tribunal fédéral 9C_32/2024 du 5 mars 2024 consid. 4.4.3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108 V 183 consid. 2 ; arrêt du Tribunal fédéral 9C_430/2021 du 7 avril 2022 consid. 5.3 et les références). À cet égard, la seule expectative que la société retrouve un équilibre financier ne suffit pas (arrêt du Tribunal fédéral 9C_430/2021 du 7 avril 2022 consid. 5.3.1 et les références). Il faut des éléments concrets et objectifs selon lesquels on peut admettre que la situation économique de la société se stabilisera dans un laps de temps déterminé et que celle-ci recouvrera sa capacité financière (arrêt du Tribunal fédéral H 163/06 du 11 juin 2007 consid. 4.4). Le fait de s'être régulièrement acquitté pour le compte de la société d'une partie des cotisations dues et d'avoir fait un apport d'argent personnel dans la société ne constituent pas des motifs d'exculpation suffisants (arrêt du Tribunal fédéral 9C_430/2021 du 7 avril 2022 consid. 5.3.1 et la référence).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H 19/07 du 10 décembre 2007 consid. 4.1). 4.3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et les références ; arrêts du Tribunal fédéral H 71/05 du 10 août 2006 consid. 5.1 ;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6. Selon l’art. 28 LPGA, les assurés et les employeurs doivent collaborer gratuitement à l’exécution des différentes lois sur les assurances sociales (al. 1). Quiconque fait valoir son droit à des prestations doit fournir gratuitement tous les renseignements nécessaires pour établir ce droit, fixer les prestations dues et faire valoir les prétentions récursoires (al. 2). Conformément à l’art. 43 LPGA,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Pour l’établissement des faits pertinents prévaut certes la maxime inquisitoire, voulant que l’assureur social – comme d’ailleurs le juge en cas de litige – établisse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19ss, 22ss, 76 et 89A de la loi sur la procédure administrative du 12 septembre 1985 [LPA - E 5 10] ; Ueli KIESER, ATSG‑Kommentar, 2020, n. 13 ss ad art. 43 ; Jacques Olivier PIGUET, in Commentaire romand de la loi sur la partie générale des assurances sociales, éd. par Anne-Sylvie DUPONT / Margit MOSER-SZELESS, 2018, n. 9 ss ad art. 43).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7. En l’espèce, il convient d’examiner si les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7.1 La société est insolvable, puisque la procédure de faillite a été suspendue faute d’actifs le 9 novembre 2023. En outre, le recourant était inscrit, durant toute la période litigieuse, en qualité d’associé gérant de la société avec signature individuelle, de sorte qu’il en était un organe formel. Il répond donc à titre subsidiaire du dommage, ce qu’il ne conteste au demeurant pas. 7.2 En sa qualité d’associé-gérant, l’intéressé avait l’obligation de s’assurer du paiement des cotisations liées aux salaires versés. Il a invoqué des problèmes financiers, relevant que le secteur de la restauration avait été fortement impacté par les mesures prises durant la pandémie, notamment par les fermetures à répétition des établissements et la réduction des activités. Il a allégué que la société avait été contrainte de recourir au chômage partiel pour conserver les emplois et que les indemnités pour RHT qui lui avaient été accordées jusqu'au mois d'août 2022 avaient été « abusivement » suspendues au mois d'avril 2022, sans aucune forme de notification, de sorte que l’entreprise n’avait plus été en mesure de payer les cotisations. Elle ne pouvait pas s’acquitter des cotisations paritaires, puisqu'elle ne générait aucune activité, mais avait payé les salaires, les loyers et les charges, ce qui avait entrainé sa faillite. Invité à maintes reprises à fournir des documents à l’appui de ces allégations, le recourant ne s’est pas exécuté. À toutes fins utiles, il sera rappelé qu’il n’est pas domicilié à Genève et que toutes les correspondances de la chambre de céans ont été envoyées aux adresses qu’il lui a communiquées, soit celle de la société jusqu’au mois d’octobre 2025, puis celle du restaurant. L’intéressé, qui devait s’attendre à recevoir des courriers du tribunal, ne l’a pas informé de la résiliation du contrat de bail de la société. À la suite de son courrier du 9 octobre 2025, la chambre de céans lui a renvoyé par recommandé les principales écritures et lui a octroyé un nouveau délai pour se déterminer. L’avis pour retrait a été remis dans la boîte aux lettres du restaurant le 20 octobre 2025, mais ce pli n’a pas été réclamé au guichet postal. En l’absence de toute pièce venant corroborer les dires de l’intéressé, l’existence de circonstances propres à constituer un motif d'exculpation suffisant ne saurait être retenue. Rien ne permet non plus d’admettre que le recourant disposait d’éléments concrets et objectifs lui permettant de penser que la situation économique de la société se stabiliserait dans un laps de temps déterminé, qu’elle recouvrerait sa capacité financière et qu’il était fondé à croire que les cotisations seraient payées dans un proche avenir. À cet égard, il sera encore relevé que les cotisations impayées portent sur trois années, jusqu’au 31 décembre 2022, alors que les dernières mesures nationales de lutte contre le coronavirus ont été levées le 16 février 2022. L’attitude du recourant, qui a continué à payer les salaires sans veiller au paiement des cotisations y afférentes, n’apparaît dès lors pas défendable, objectivement, aux yeux d'un tiers responsable. La condition de la faute qualifiée, à tout le moins de la négligence grave, est dès lors réalisée. 7.3 Enfin, si le recourant avait correctement exécuté son mandat et respecté les obligations liées à son mandat d’associé-gérant de la société, le préjudice de l’intimée ne serait pas survenu. La condition du lien de causalité est ainsi remplie et aucune autre cause concomitante ne permet en l’occurrence de l’exclure. Au vu de ces éléments, la responsabilité du recourant au sens de l'art. 52 LAVS doit être confirmée. 8. Il reste à examiner le montant du dommage subi par l'intimée. 8.1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(Office fédéral des assurances sociales, Directives sur la perception des cotisations dans l’AVS, AI et APG, n. 8017). Les éventuelles amendes prononcées par la caisse de compensation ne font pas partie du dommage et doivent le cas échéant être déduites (arrêt du Tribunal fédéral H 142/03 du 19 août 2003 consid. 5.5). 8.2 En l’occurrence, le recourant n’a fait valoir aucun argument à l’encontre du montant du dommage. La chambre de céans se limitera dès lors à constater que le montant de CHF 46'223.90 retenu dans la décision litigieuse correspond à celui mentionné dans le décompte de l’intimée, annexé à sa décision du 18 juin 2024, portant sur les cotisations de salaires impayées pour les années 2020, 2021 et 2022. 8.3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 52 LAVS s’applique par analogie.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149 II 320 consid. 3 et les références). Selon la règle de base de droit intertemporel, une règle de droit ne produit un effet que sur les états de fait qui se sont déroulés durant sa période de validité. La règle de base de droit intertemporel permet de déterminer le champ d’application temporel d’une loi et d’attribuer un fait à une loi en fonction du moment de la survenance du fait en question. Ainsi, les faits survenus dès l’entrée en vigueur de la loi, soit durant la période de validité de cette dernière, doivent être saisis par la nouvelle loi, alors que les faits survenus avant ou après la période de validité d’une loi ne peuvent en principe pas être saisis par la loi en question (Milena PIREK, L'application du droit dans le temps et la non-rétroactivité, in Les grands principes du droit administratif, 2022, p. 137). En l'occurrence, dans la mesure où la demande en réparation du dommage a été rendue par l'intimée le 18 juin 2024, soit postérieurement à l'entrée en vigueur de l'art. 11A LAMat, se pose la question de l'application de cette disposition dans le cas d'espèce. La demande en réparation du dommage susvisée avait pour objet le paiement des cotisations salariales impayées relatives aux années 2020, 2021 et 2022, y compris des montants relevant de la LAMat, de sorte que l'état de fait ayant fondé cette demande s'est réalisé avant l'entrée en vigueur de l'art. 11A LAMat. Par conséquent, conformément à la jurisprudence fédérale et en l'absence de disposition particulière de droit transitoire, l'art. 11A LAMat ne s'applique pas dans le cas d'espèce ( cf . ATAS/470/2024 du 19 juin 2024 consid. 6.3). L'intimée n'était donc pas fondée à réclamer au recourant le montant correspondant aux cotisations dues en vertu de la LAMat. 9. Eu égard à ce qui précède, le recours est très partiellement admis et la décision sur opposition querellée est annulée. La cause est renvoyée à l’intimée pour nouveau calcul du dommage excluant les cotisations impayées découlant de la LAMat, les intérêts moratoires et frais administratifs afférents à ces montants, et nouvelle décision sur ce point. Le recourant, bien qu’ayant obtenu très partiellement gain de cause, a agi en personne, de sorte qu’il ne se justifie pas de lui octroyer des dépens (art. 61 let. g LPGA et art. 6 du règlement sur les frais, émoluments et indemnités en matière administrative du 30 juillet 1986 [RFPA - E 5 10.03]).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