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A/3216/2024 vom 25. August 2025</w:t>
      </w:r>
    </w:p>
    <w:p>
      <w:r>
        <w:t>GE Cour de justice, 2025-08-25, FR</w:t>
      </w:r>
    </w:p>
    <w:p>
      <w:r>
        <w:rPr>
          <w:b/>
        </w:rPr>
        <w:t xml:space="preserve">Quelle: </w:t>
      </w:r>
      <w:r>
        <w:t>https://mcp.opencaselaw.ch/entscheid/ge_gerichte_A_3216_2024</w:t>
      </w:r>
    </w:p>
    <w:p>
      <w:r>
        <w:t>FR: GE_GERICHTE A/3216/2024 du 25 août 2025</w:t>
      </w:r>
    </w:p>
    <w:p>
      <w:r>
        <w:t>IT: GE_GERICHTE A/3216/2024 del 25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et le délai prévus par la loi, le recours est recevable (art. 60 al. 1 LPGA).</w:t>
      </w:r>
    </w:p>
    <w:p>
      <w:r>
        <w:rPr>
          <w:b/>
        </w:rPr>
        <w:t>E. 2</w:t>
      </w:r>
    </w:p>
    <w:p>
      <w:r>
        <w:t>À titre liminaire, il y a lieu de déterminer l'objet du litige.</w:t>
      </w:r>
    </w:p>
    <w:p>
      <w:r>
        <w:rPr>
          <w:b/>
        </w:rPr>
        <w:t>E. 2.1</w:t>
      </w:r>
    </w:p>
    <w:p>
      <w:r>
        <w:t>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w:t>
      </w:r>
    </w:p>
    <w:p>
      <w:r>
        <w:rPr>
          <w:b/>
        </w:rPr>
        <w:t>E. 2.2</w:t>
      </w:r>
    </w:p>
    <w:p>
      <w:r>
        <w:t>En l’espèce, la décision querellée nie à la recourante aussi bien le droit à des mesures d’ordre professionnel que celui à une rente d’invalidité. Cela étant, le recours dont est saisie la chambre de céans ne concerne que le droit à une rente d’invalidité et, dans ce cadre précis, l’ampleur des répercussions sur la capacité de gain qu’a entraînées l’aggravation de l’état de santé survenue entre le 28 avril 2018 – date de la dernière décision entrée en force et reposant sur un examen matériel du droit – et la date de la décision litigieuse.</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3.2</w:t>
      </w:r>
    </w:p>
    <w:p>
      <w:r>
        <w:t>En l’espèce, il ressort de l’instruction médicale – non contestée sur ce point – qu’une modification potentiellement déterminante pour le droit à la rente est survenue après le 1 er janvier 2022 ( cf . notamment les conclusions du rapport d’expertise du 5 mars 2024 et les périodes d’incapacité de travail mentionnées dans le rapport du 8 juin 2023 du Dr G______), de sorte que les dispositions applicables seront citées dans leur nouvelle teneur.</w:t>
      </w:r>
    </w:p>
    <w:p>
      <w:r>
        <w:rPr>
          <w:b/>
        </w:rPr>
        <w:t>E. 3.3</w:t>
      </w:r>
    </w:p>
    <w:p>
      <w:r>
        <w:t>Lorsque l’administration entre en matière sur une demande de révision déposée par la personne assurée (art. 87 al. 2 RAI), elle doit traiter l’affaire au fond et vérifier que la modification du degré d’invalidité rendue plausible par l’assuré(e) (prenant par ex. la forme d’un nouveau diagnostic posé au cours de la période de comparaison déterminante ; arrêt du Tribunal fédéral 8C_735/2019 du 25 février 2020 consid. 4.5) est réellement survenue. Si l’office AI entre en matière sur la demande de révision, il doit procéder à un examen complet (« allseitig ») en fait et en droit (arrêt du Tribunal fédéral 9C_4/2021 du 1 er mars 2021 consid. 6.1.2). S’il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U. MEYER/ M. REICHMUTH, Rechtsprechung des Bundesgerichts zum Bundesgesetz über die Invalidenversicherung [IVG], 4 e éd., 2022, n. 122 ad art. 30 LAI).</w:t>
      </w:r>
    </w:p>
    <w:p>
      <w:r>
        <w:rPr>
          <w:b/>
        </w:rPr>
        <w:t>E. 3.4</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3.4.1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w:t>
      </w:r>
    </w:p>
    <w:p>
      <w:r>
        <w:rPr>
          <w:b/>
        </w:rPr>
        <w:t>E. 3.4.2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arrêt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Margit MOSER-SZELESS, Commentaire romand LPGA, 2018, n. 27 ad art. 17 LPGA et les références).</w:t>
      </w:r>
    </w:p>
    <w:p>
      <w:r>
        <w:rPr>
          <w:b/>
        </w:rPr>
        <w:t>E. 3.5</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4.1.1</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4.1.2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rPr>
          <w:b/>
        </w:rPr>
        <w:t>E. 4.2</w:t>
      </w:r>
    </w:p>
    <w:p>
      <w:r>
        <w:t>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w:t>
      </w:r>
    </w:p>
    <w:p>
      <w:r>
        <w:rPr>
          <w:b/>
        </w:rPr>
        <w:t>E. 4.3</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w:t>
      </w:r>
    </w:p>
    <w:p>
      <w:r>
        <w:t>En application de la jurisprudence précitée (ATF 147 V 167 consid. 4.1 ; cf . aussi 133 V 108 consid. 5.4), il convient, en l’espèce, de comparer la situation telle qu’elle se présentait lors de la décision du 27 avril 2018 avec celle existant au moment de la décision litigieuse, le 30 août 2024, pour apprécier le bien-fondé d’une éventuelle révision opérée en application de l’art. 17 LPGA.</w:t>
      </w:r>
    </w:p>
    <w:p>
      <w:r>
        <w:rPr>
          <w:b/>
        </w:rPr>
        <w:t>E. 7.1</w:t>
      </w:r>
    </w:p>
    <w:p>
      <w:r>
        <w:t>Dans le cadre de la première demande de prestations, déposée le 13 juillet 2017, le SMR avait estimé, par avis du 5 décembre 2017, que l’assurée présentait une GPA responsable d’une polyarthralgie et d’une fatigabilité chronique qui faisaient que sa capacité de travail était nulle depuis 2012 dans son activité habituelle mais entière – depuis toujours – dans toute activité tenant compte de ses limitations fonctionnelles (arthralgie, fatigabilité). Sur la base de cette instruction médicale, la décision du 27 avril 2018 avait refusé toute prestation à l’assurée, étant donné que sa capacité de travail était entière dans une activité adaptée aux limitations fonctionnelles retenues par le SMR et que la comparaison des revenus avec et sans invalidité aboutissait à une perte de gain nulle et à un degré d’invalidité qui ne l’était pas moins. La deuxième demande de prestations, déposée le 15 mai 2023, a abouti à la décision du 30 août 2024 litigieuse qui se fonde sur l’avis du 18 mars 2024 du SMR. Faisant siennes les conclusions du rapport d’expertise bi-disciplinaire du 5 mars 2024 – en particulier celles retenant une capacité de travail de 0% dans l’activité habituelle depuis 2012 et de 80% (soit 100% avec une diminution de rendement de 20%) dans une activité adaptée depuis le 1 er juin 2023 –, cet avis les précise néanmoins sur le plan des atteintes incapacitantes et des limitations fonctionnelles y relatives : l’experte rhumatologue I______ ayant indiqué qu’il était « possible, mais non obligatoire, de classer les diagnostics en fonction de leur impact sur la capacité de travail » (rapport d’expertise p. 14), le SMR retient, au titre des atteintes à la santé incapacitantes, outre le diagnostic d’arthralgies et myalgies (dans le cadre d’une GPA) déjà connu en 2017, les diagnostics nouveaux posés par l’experte rhumatologue I______ depuis la décision du 27 avril 2018 (hormis le trouble statique des pieds, l’hallux valgus bilatéral, le syndrome du tunnel carpien bilatéral et l’obésité), à savoir : une fibromyalgie, une discrète périarthrite gauche sur possible conflit sous-acromial, une périarthrite de l’épaule droite sur tendinopathie du sus-épineux et des gonalgies prédominant à gauche sur syndrome fémoro-patellaire débutant. L’experte rhumatologue ayant retenu que les limitations fonctionnelles liées aux diagnostics qu’elle avait posés impliquaient l’absence d’efforts contraignants pour les articulations, de travail pour les membres supérieurs au-dessus de l’horizontale, de port itératif de charges supérieures à 10 kg et de travail en position accroupie/à genoux, le SMR en complète la liste en y ajoutant la nécessité d’une activité sédentaire avec changements de position possibles, exercée dans un environnement tempéré, et en étendant la limite 10 kg même au port de charges non itératifs. Sur le plan psychiatrique – non investigué dans le cadre de la première demande de prestations –, l’expert psychiatre retient la présence d’un épisode dépressif moyen sans effet sur la capacité de travail dans l’activité habituelle d’agente d’entretien comme dans toute autre activité.</w:t>
      </w:r>
    </w:p>
    <w:p>
      <w:r>
        <w:rPr>
          <w:b/>
        </w:rPr>
        <w:t>E. 7.2</w:t>
      </w:r>
    </w:p>
    <w:p>
      <w:r>
        <w:t>Il résulte de ce qui précède que par rapport à l’état de fait sur lequel se fondait la décision du 27 avril 2018, les experts considèrent en substance qu’il existe certes des diagnostics qui se sont ajoutés à la GPA initiale mais qui dans le cadre d’une activité adaptée, n’affectent en rien la pleine capacité de travail de l’assurée, celle-ci étant uniquement diminuée depuis juin 2023 (sous forme d’une réduction de rendement de 20%). Sur le plan rhumatologique, l’experte I______ explique la survenance, en juin 2023, d’une diminution de rendement de 20% dans une activité adaptée en précisant ce qui suit : « l’anamnèse et l’examen clinique actuels sont en faveur d’une fibromyalgie, les critères ACR de 2015 (revus [en] septembre 2016) sont remplis pour retenir ce diagnostic. Néanmoins, les arthralgies, myalgies et fatigue, rapportées depuis 2012 par l’expertisée et relevées par les médecins traitants, sont également reconnues dans le cadre de cette affection immunologique, ceci tant dans l’expérience que par la littérature médicale. Ces arthralgies peuvent persister malgré un status immunologique stabilisé. Nous n’avons pas d’argument, par rapport aux examens précédents, de retenir une aggravation de la symptomatologie, et dès lors nous retenons également une capacité de travail de 100% dans une activité sédentaire légère, adaptée, mais avec une perte de rendement de 20% en raison des arthralgies, des myalgies et de la fatigue reconnues dans le cadre de cette affection, ceci depuis juin 2023, puisqu’à ce moment-là ces plaintes ont été suffisamment sérieuses pour justifier une investigation sur le plan rhumatologique » (rapport d’expertise, p. 29). D’un point de vue psychiatrique, la chambre de céans constate que, même si l’expert H______ ne s’en tient pas strictement aux standards usuels d’une expertise psychiatrique réalisée selon la procédure probatoire structurée au sens de l’ATF 141 V 281 (ATF 143 V 418 ), et que ses explications requièrent de la part du lecteur qu’il recherche lui-même dans l’expertise les différents indicateurs et en fasse la synthèse, il ne résulte pas moins de l’inventaire de tous les points pertinents, en particulier des informations qu’il y a lieu de classer sous l’indicateur « atteinte à la santé », que l’épisode dépressif moyen ne présente pas un degré de gravité fonctionnel qui le rendrait invalidant. Par ailleurs, les informations à classer sous l’indicateur « personnalité » révèlent des ressources personnelles conservées. Tenant compte des plaintes de la recourante, comportant une anamnèse détaillée, des diagnostics motivés et des conclusions claires et cohérentes, le rapport d’expertise bi-disciplinaire du 5 mars 2024 peut se voir reconnaître valeur probante.</w:t>
      </w:r>
    </w:p>
    <w:p>
      <w:r>
        <w:rPr>
          <w:b/>
        </w:rPr>
        <w:t>E. 7.3</w:t>
      </w:r>
    </w:p>
    <w:p>
      <w:r>
        <w:t>D’avis contraire, la recourante estime que tel ne serait pas le cas.</w:t>
      </w:r>
    </w:p>
    <w:p>
      <w:r>
        <w:rPr>
          <w:b/>
        </w:rPr>
        <w:t>E. 7.3.1</w:t>
      </w:r>
    </w:p>
    <w:p>
      <w:r>
        <w:t>Dans un premier moyen, elle relève que d’un point de vue rhumatologique, le diagnostic de fibromyalgie a été confirmé, avec un bilan de 28/31 par l’experte I______, soit un score presque identique à celui mentionné par la Dre F______ ( cf . son rapport de consultation du 8 juin 2023) mais que pour une « raison inexplicable », l’experte I______ a retenu que les difficultés articulaires étaient issues de la GPA, alors même que le bilan immunologique ne mettait en évidence aucune réactivation. La chambre de céans relève que contrairement à ce qui est le cas en matière de fibromyalgie (absence de pathogénèse claire et fiable pouvant expliquer l’origine des douleurs ; cf . arrêt du Tribunal fédéral I 652/04 du 3 avril 2006 consid. 2.1), il existe, en l’espèce, selon l’experte rhumatologue, une explication à l’origine des arthralgies, myalgie et fatigue rapportées depuis 2012 et relevées par les médecins traitants, à savoir que ces symptômes sont également reconnus dans le cadre de l’affection immunologique qu’est la GPA et peuvent persister malgré un status immunologique stabilisé ( cf . expertise, p. 29). En tout état, il n’est pas nécessaire de prendre position sur le point de savoir si les arthralgies et myalgies en cause peuvent se manifester dans le cadre de la GPA malgré un status immunologique stabilisé, ou si elles découlent plutôt de la fibromyalgie. D’une part, il n’appartient pas à l’administration ou au juge de remettre en cause le diagnostic posé par un médecin ; est seul décisif que le diagnostic s’appuie lege artis sur les critères d’un système de classification reconnu ( cf . ATF 132 V 65 consid. 3.4), ce qui est le cas dans l’expertise litigieuse. D’autre part, ce qui importe pour juger du droit aux prestations d’un assuré, c’est la répercussion de l’atteinte à la santé diagnostiquée sur la capacité de travail (art. 4 al. 1 LAI, art. 16 LPGA). Seule la réponse à cette question intéresse finalement le juriste dans une procédure portant sur l’incapacité de travail ou l’invalidité; le débat médical relatif à la dénomination diagnostique la mieux appropriée pour décrire l’état de souffrance du patient se révèle dans ce contexte plutôt secondaire ( cf . ATF 132 V 65 consid. 3.4 précité). En l’espèce, cette constatation s’impose à plus forte raison que le degré de gravité fonctionnel des arthralgies, myalgies et de la fatigue de la recourante fait de toute manière l’objet, dans le rapport d’expertise, d’une analyse selon les indicateurs de gravité, indépendamment de l’étiologie de ces symptômes ( cf . ci-après : consid. 7.3.2).</w:t>
      </w:r>
    </w:p>
    <w:p>
      <w:r>
        <w:rPr>
          <w:b/>
        </w:rPr>
        <w:t>E. 7.3.2</w:t>
      </w:r>
    </w:p>
    <w:p>
      <w:r>
        <w:t>Dans un second moyen, la recourante soutient qu’une évaluation globale cohérente par les deux experts ferait défaut, ce dont témoigneraient « des contradictions évidentes entre les constatations des volets rhumatologiques et psychiatriques » ( cf . déterminations de la recourante du 17 février 2025, p. 1). Ce grief apparaît également injustifié. Pour le volet qui le concerne, l’expert psychiatre énumère de manière claire et compréhensible les éléments jugés pertinents pour le diagnostic d’épisode dépressif moyen (F32.1) en précisant en outre que l’intéressée « n’est pas porteuse d’un éventuel trouble spécifique F60 de la personnalité » (expertise, p. 45). Il relève ensuite en substance qu’au vu du traitement antidépresseur prescrit par le psychiatre traitant (très partiellement suivi ; cf . les taux sériques de mirtazapine infra-thérapeutiques mentionnés en p. 40 de l’expertise) et de ressources personnelles préservées, la capacité de travail n’est pas restreinte par l’épisode dépressif moyen en cause. Dans son appréciation des capacités, des ressources et des difficultés, l’expert psychiatre expose en effet que « les difficultés de [la recourante] sont d’être algique. Cela est exploré ailleurs » (expertise, p. 50 in fine ). De même, dans son examen de la cohérence, l’expert retient que « les principales doléances de cette assurée sont somatiques algiques [et] explorées ailleurs », ce qui ne l’empêche cependant pas de retenir que « [ces doléances] apparaissent néanmoins cohérentes et plausibles à l’expert psychiatre car [la recourante] n’est pas histrionique. Les résultats de notre examen, à savoir un épisode dépressif moyen, sont valides et compréhensibles pour cette même raison » (expertise, p. 47). S’agissant des algies auxquelles l’expert psychiatre fait référence, l’experte rhumatologue en explique l’étiologie ( cf . ci-dessus : consid. 7.2) et en examine le degré de gravité fonctionnel, ce en exposant non seulement les ressources de la recourante, mais aussi les points qui ne résistent pas à l’examen de cohérence. Aussi ne voit-on pas de motif de mettre en doute le raisonnement suivi par l’experte I______ pour expliquer la prise en compte, dès juin 2023, d’une diminution de rendement de 20% dans une activité adaptée.</w:t>
      </w:r>
    </w:p>
    <w:p>
      <w:r>
        <w:rPr>
          <w:b/>
        </w:rPr>
        <w:t>E. 7.3.3</w:t>
      </w:r>
    </w:p>
    <w:p>
      <w:r>
        <w:t>Dans un troisième moyen, la recourante reproche à l’expert psychiatre « une évaluation indigente des ressources […] d’un point de vue psychiatrique », qui serait « vide de toute substance » et reposerait « soit sur des affirmations nullement étayées, soit [sur] de pures tautologies » ( cf . complément au recours, p. 3-4). Cette critique tombe également à faux. En effet, la recourante omet de préciser que l’expert psychiatre relate de manière détaillée ses déclarations et ses plaintes dans le cadre de l’entretien psychiatrique (expertise, p. 33 ss). Quant au fait que ces déclarations et plaintes ne soient pas reprises telles quelles dans l’appréciation des ressources « selon la CIF » (Classification internationale du fonctionnement ; cf . expertise, p. 45-46) et que dans ce cadre précis, l’expert prête à la recourante des capacités qui vont au-delà des empêchements allégués, il s’agit là d’un point qui relève spécifiquement de l’évaluation médicale. Or, cette dernière n’a pas lieu d’être mise en doute en l’absence d’avis médical dissident portant sur un point objectivement vérifiable qui aurait été ignoré par l’expert. À l’appui de ses déterminations du 17 février 2025, la recourante produit certes une lettre de sortie des soins psychiatriques du 8 novembre 2024, évoquant un état dépressif sévère. La chambre de céans constate toutefois à la lecture de ce rapport que la péjoration thymique ayant conduit à une hospitalisation du 22 octobre au 1 er novembre 2024 à l’hôpital de psychiatrie de Belle-Idée était aussi brève que le séjour dans cet établissement ( cf . aussi l’avis du 12 mars 2025 du SMR). En effet, les Drs J______ et K______ font état d’une « évolution […] favorable [avec] une diminution significative des idées noires » (rapport du 8 novembre 2024, p. 3) et, à l’examen psychiatrique de sortie, d’une patiente euthymique, normo-vigilante, orientée dans les quatre modes, dont le discours est cohérent, organisé, spontané, sans élément floride de la lignée psychotique (rapport du 8 novembre 2024, p. 4). On relèvera enfin qu’en tant que les faits décrits dans ce rapport sont postérieurs à la décision litigieuse, ils ne sont en l’occurrence pas pertinents. En effet,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w:t>
      </w:r>
    </w:p>
    <w:p>
      <w:r>
        <w:rPr>
          <w:b/>
        </w:rPr>
        <w:t>E. 7.4</w:t>
      </w:r>
    </w:p>
    <w:p>
      <w:r>
        <w:t>Compte tenu de ce qui précède, il est établi, au degré de la vraisemblance prépondérante, qu’entre la décision du 27 avril 2018 et la décision litigieuse, l’état de santé de la recourante s’est aggravé dans le sens constaté par les experts et qu’il en résulte une capacité de travail qui demeure nulle dans l’activité habituelle d’agente d’entretien et qui se trouve réduite à 80% (100% avec une diminution de rendement de 20%) dans une activité adaptée depuis le 1 er juin 2023.</w:t>
      </w:r>
    </w:p>
    <w:p>
      <w:r>
        <w:rPr>
          <w:b/>
        </w:rPr>
        <w:t>E. 8</w:t>
      </w:r>
    </w:p>
    <w:p>
      <w:r>
        <w:t>Le statut d’actif de la recourante n’étant pas contesté et n’apparaissant pas contestable non plus, il reste à examiner son degré d’invalidité.</w:t>
      </w:r>
    </w:p>
    <w:p>
      <w:r>
        <w:rPr>
          <w:b/>
        </w:rPr>
        <w:t>E. 8.1</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8.2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w:t>
      </w:r>
    </w:p>
    <w:p>
      <w:r>
        <w:rPr>
          <w:b/>
        </w:rPr>
        <w:t>E. 8.3</w:t>
      </w:r>
    </w:p>
    <w:p>
      <w:r>
        <w:t>L’art. 25 RAI pose les principes de la comparaison des revenus. Selon son al. 1, est réputé revenu au sens de l’art. 16 LPGA le revenu annuel présumable sur lequel les cotisations seraient perçues en vertu de la LAVS, à l’exclusion toutefois: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(ci-après : ESS) de l’Office fédéral de la statistique (ci-après : OFS)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8.4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8.5</w:t>
      </w:r>
    </w:p>
    <w:p>
      <w:r>
        <w:t>Le revenu sans invalidité obéit aux principes suivants :</w:t>
      </w:r>
    </w:p>
    <w:p>
      <w:r>
        <w:rPr>
          <w:b/>
        </w:rPr>
        <w:t>E. 8.5.1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 bis al. 1 RAI est également inférieur d’au moins 5% aux valeurs médianes usuelles dans la branche selon l’ESS ou lorsque l’assuré exerçait une activité lucrative indépendante (art. 26 al. 2 et 3 RAI). Pour déterminer le revenu hypothétique que l’assuré aurait pu réaliser sans l’atteinte à la santé (revenu sans invalidité), ce n’est pas le revenu de sa dernière activité qui est déterminant, mais le revenu qu’il aurait réalisé au degré de la vraisemblance prépondérance s’il n’était pas devenu invalide (arrêt du Tribunal fédéral 9C_887/2017 du 7 juin 2018 consid. 4.2; Madeleine RANDACHER, in KIESER/ KRADOLFER/ LENDFERS [éd.], ATSG-Kommentar, 5 e éd. 2024, n. 20 ad art. 16 LPGA).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8.5.2</w:t>
      </w:r>
    </w:p>
    <w:p>
      <w:r>
        <w:t>Si le revenu sans invalidité effectivement réalisé ne peut pas être déterminé ou ne peut pas l’être avec suffisamment de précision, il est déterminé sur la base des valeurs statistiques visées à l’art. 25 al. 3 RAI pour une personne ayant la même formation et une situation professionnelle correspondante (art. 26 al. 4 RAI).</w:t>
      </w:r>
    </w:p>
    <w:p>
      <w:r>
        <w:rPr>
          <w:b/>
        </w:rPr>
        <w:t>E. 8.6</w:t>
      </w:r>
    </w:p>
    <w:p>
      <w:r>
        <w:t>S’agissant du revenu avec invalidité, l’art. 26 bis al. 1 RAI dispose que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Si l’assuré ne réalise pas de revenu déterminant, le revenu avec invalidité est déterminé en fonction des valeurs statistiques visées à l’art. 25 al. 3 RAI (art. 26 bis al. 2 RAI). Dans ce cas,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telle qu’elle ressort de la version de l’ESS publiée au moment déterminant de la décision querellée (ATF 143 V 295 consid. 4 ; arrêt du Tribunal fédéral 8C_655/2016 du 4 août 2017 consid. 6.3).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w:t>
      </w:r>
    </w:p>
    <w:p>
      <w:r>
        <w:rPr>
          <w:b/>
        </w:rPr>
        <w:t>E. 8.6.1</w:t>
      </w:r>
    </w:p>
    <w:p>
      <w:r>
        <w:t>Depuis la 10 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 cf . ATF 150 V 354 consid. 6.1).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op. cit. , n. 101 ad art. 28 a LAI).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8.6.2</w:t>
      </w:r>
    </w:p>
    <w:p>
      <w:r>
        <w:t>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Dans un arrêt de principe (ATF 150 V 410 ), le Tribunal fédéral a considéré que le régime de déduction sur les salaires statistiques des ESS, tel que prévu de manière exhaustive à l’art. 26 bis al. 3 RAI (dans sa teneur en vigueur du 1 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 bis al. 3 RAI), le Conseil fédéral avait choisi une autre voie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L’étendue de l’abattement justifié dans un cas concret relève du pouvoir d’appréciation (ATF 132 V 393 consid. 3.3). Le 1 er janvier 2024, la modification de l’art. 26 bis al. 3 RAI du 18 octobre 2023 (RO 2023 635) est entrée en vigueur.</w:t>
      </w:r>
    </w:p>
    <w:p>
      <w:r>
        <w:rPr>
          <w:b/>
        </w:rPr>
        <w:t>E. 9</w:t>
      </w:r>
    </w:p>
    <w:p>
      <w:r>
        <w:t>Il reste à examiner le degré d’invalidité retenu par l’intimé.</w:t>
      </w:r>
    </w:p>
    <w:p>
      <w:r>
        <w:rPr>
          <w:b/>
        </w:rPr>
        <w:t>E. 9.1</w:t>
      </w:r>
    </w:p>
    <w:p>
      <w:r>
        <w:t>En l’espèce, l’intimé a fixé le degré d’invalidité de la recourante en 2023 et en 2024 sur la base du raisonnement et des calculs suivants : Pour 2023, il a déterminé le revenu avec invalidité sur la base de l’enquête suisse sur la structure des salaires (ci-après : ESS), plus précisément du tableau TA1, tirage « skill level » (secteur privé) de l’année 2020. Selon cette statistique, une femme exerçant une activité simple et répétitive (niveau 1) pouvait réaliser, toutes activités confondues (ligne « total ») un revenu de CHF 4'276.-. Compte tenu de la durée normale de travail dans les entreprises (41.7 heures), cela représentait CHF 4'457.- par mois (4'276 x 41.7 / 40 = 4'457) ou CHF 53'488.- par an. En l’absence de données disponibles pour l’année prise en compte pour l’évaluation de l’invalidité (2023), il y avait lieu d’indexer ce montant selon l’indice suisse nominal des salaires (ISS) pour une femme en 2022 (tableau T1.2.10), ce qui correspondait à CHF 54'222.- (53'488 x 109.4 / 107.9 = 54'222), respectivement CHF 43'377.-, compte tenu d’une exigibilité de 80%. Pour 2024, l’intimé a repris à l’identique le calcul du revenu avec invalidité effectué pour l’année 2023, à ceci près qu’il a accordé en sus une réduction forfaitaire de 10% sur le montant de CHF 43'377.- précité, aboutissant ainsi à CHF 39'040.-. Quant au revenu sans invalidité, l’intimé l’a déterminé en fonction du dernier salaire obtenu avant l’atteinte à la santé. Selon les données de la Vaudoise (dossier AI, doc 88, p. 364), l’assurée aurait réalisé un salaire horaire de CHF 21.36 en 2021, ce qui correspondait à CHF 13'884.- au taux d’activité effectif de 25% et CHF 55'536.- pour un plein temps, soit CHF 56'109.- après indexation selon le tableau T1.2.10 de l’ISS pour l’année 2022 (55'536 x 107.7 / 106.6 = 56'109). Dans la mesure où ce revenu était de toute manière supérieur au revenu statistique réalisable par une femme dans une activité correspondant à la ligne 77-82 du tableau TA1, tirage « skill level », adaptée à la durée normale du travail dans ce secteur (41.8 heures) et à l’ISS 2022 (CHF 50'741.-), la prise en compte de 95% de ce revenu statistique médian (en lieu et place du revenu sans invalidité qui aurait été perçu en 2022) n’avait pas lieu d’être. En comparant les revenus avec et sans invalidité pour l’année 2023, la perte de gain était de CHF 12'732.- (soit CHF 56'109.- sous déduction de CHF 43'377.-) et le degré d’invalidité de 23% [(56'109 – 43'377) x 100 / 56'109 = 22.69%, arrondi à 23%]. En comparant les revenus avec et sans invalidité pour l’année 2024, la perte de gain était de CHF 17'069.- (soit CHF 56'109.- sous déduction de CHF 39'040.-) et le degré d’invalidité de 30% [(56'109 – 39'040) x 100 / 56'109 = 30.42%, arrondi à 30%].</w:t>
      </w:r>
    </w:p>
    <w:p>
      <w:r>
        <w:rPr>
          <w:b/>
        </w:rPr>
        <w:t>E. 9.2</w:t>
      </w:r>
    </w:p>
    <w:p>
      <w:r>
        <w:t>En tant que l’intimé a calculé le degré d’invalidité effectué non seulement au moment de la naissance d’un éventuel droit à une rente (2023), mais aussi au moment de la décision litigieuse (2024), la chambre de céans constate que ce double calcul met en œuvre correctement la jurisprudence précitée (ci-dessus : consid. 8.4) et n’appelle aucune critique. Cela vaut également pour le revenu sans invalidité. Le revenu avec invalidité comporte en revanche des erreurs de calcul (exprimées en écarts de quelques francs) au niveau du revenu annuel et du montant résultant de son indexation. On constate toutefois que les corrections à apporter n’ont pas de répercussions concrètes sur le degré d’invalidité. En effet, le revenu statistique de CHF 4'276.- précité (ci-dessus : consid. 9.1), adapté à la durée normale du travail (41.7 heures) est de CHF 4'457.73.- par mois ou CHF 53'492.76 par an, ce qui représente CHF 54'236.40 après indexation à l’ISS de 2022 (53'492.76 x 109.4 / 107.9 = 54'236.40), respectivement CHF 43'389.12 au vu de l’exigibilité de 80%. En tenant encore compte, pour l’année 2024, d’une réduction forfaitaire de 10% sur ce dernier montant, on obtient CHF 39'050.21. La comparaison des revenus aboutit ainsi une perte de gain de CHF 12'719.88 (CHF 17'058.79 avec la déduction de 10%) et à un degré d’invalidité de 22.66%, arrondi à 23% (30.40%, arrondi à 30% en 2024 ; cf . ATF 130 V 121 consid. 3.2). Concernant la prise en compte d’un abattement de 10% pour l’année 2024, elle se justifie en application de l’art. 26 bis al. 3 RAI révisé, entré en vigueur le 1 er janvier 2024. Au regard de l’ATF 150 V 410 précité, relatif à l’art. 26 bis RAI dans sa teneur en vigueur du 1 er janvier 2022 au 31 décembre 2023, on peut certes se demander s’il y aurait lieu d’accorder un abattement de 10% sur le revenu d’invalide dès 2023. La jurisprudence considère que lorsqu’un assuré est capable de travailler à plein temps mais avec une diminution de rendement – ce qui est le cas en l’espèce –, celle-ci est prise en considération dans la fixation de la capacité de travail et il n’y a pas lieu, en sus, d’effectuer un abattement à ce titre (arrêt du Tribunal fédéral 8C_431/2021 du 26 janvier 2022 consid. 5.2). La question du bien-fondé d’un éventuel abattement de 10% en 2023 (accordé en raison de circonstances autres que la diminution de rendement) peut toutefois demeurer indécise, sachant que le degré d’invalidité de 30% qui en résulterait serait de toute manière trop faible pour ouvrir droit à une rente.</w:t>
      </w:r>
    </w:p>
    <w:p>
      <w:r>
        <w:rPr>
          <w:b/>
        </w:rPr>
        <w:t>E. 10</w:t>
      </w:r>
    </w:p>
    <w:p>
      <w:r>
        <w:t>Compte tenu de ce qui précède, le recours doit être rejeté.</w:t>
      </w:r>
    </w:p>
    <w:p>
      <w:r>
        <w:rPr>
          <w:b/>
        </w:rPr>
        <w:t>E. 11</w:t>
      </w:r>
    </w:p>
    <w:p>
      <w:r>
        <w:t>Un émolument de CHF 200.- sera mis à la charge de la recourante, qui n’obtient pas gain de cause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