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A/3215/2017 vom 28. Mai 2018</w:t>
      </w:r>
    </w:p>
    <w:p>
      <w:r>
        <w:t>GE Cour de justice, 2018-05-28, FR</w:t>
      </w:r>
    </w:p>
    <w:p>
      <w:r>
        <w:rPr>
          <w:b/>
        </w:rPr>
        <w:t xml:space="preserve">Quelle: </w:t>
      </w:r>
      <w:r>
        <w:t>https://mcp.opencaselaw.ch/entscheid/ge_gerichte_A_3215_2017</w:t>
      </w:r>
    </w:p>
    <w:p>
      <w:r>
        <w:t>FR: GE_GERICHTE A/3215/2017 du 28 mai 2018</w:t>
      </w:r>
    </w:p>
    <w:p>
      <w:r>
        <w:t>IT: GE_GERICHTE A/3215/2017 del 28 maggio 2018</w:t>
      </w:r>
    </w:p>
    <w:p>
      <w:pPr>
        <w:pStyle w:val="Heading2"/>
      </w:pPr>
      <w:r>
        <w:t>Erwägungen</w:t>
      </w:r>
    </w:p>
    <w:p>
      <w:r>
        <w:rPr>
          <w:b/>
        </w:rPr>
        <w:t>E. 4</w:t>
      </w:r>
    </w:p>
    <w:p>
      <w:r>
        <w:t>Par courrier du 21 mai 2019, la chambre administrative a demandé à l'AFC-GE des pièces complémentaires, soit les bordereaux et avis de taxation ICC et IFD pour les années 2003 à 2013 de Mme A______, Mme B______ et Monsieur C______.</w:t>
      </w:r>
    </w:p>
    <w:p>
      <w:r>
        <w:rPr>
          <w:b/>
        </w:rPr>
        <w:t>E. 5</w:t>
      </w:r>
    </w:p>
    <w:p>
      <w:r>
        <w:t>Par courrier du 18 juin 2019, l'AFC-GE a fait savoir à la chambre administrative qu'après nouvel examen du dossier, elle entendait revenir sur sa position et entrer en matière sur les conclusions des recourantes. Dès lors qu'elle annulait son « Bordereau de taxation d'office Droit de succession no 2691/2014 du 12 mai 2017 », le recours devenait sans objet.</w:t>
      </w:r>
    </w:p>
    <w:p>
      <w:r>
        <w:rPr>
          <w:b/>
        </w:rPr>
        <w:t>E. 6</w:t>
      </w:r>
    </w:p>
    <w:p>
      <w:r>
        <w:t>Invitées à se déterminer sur les frais de la procédure, Mmes B______ et A______ ont pris bonne note du courrier de l'AFC-GE qui reconnaissait « le bien-fondé du recours et ses conclusions ». Elles concluaient à ce que l'AFC-GE soit condamnée aux frais et dépens de première instance et d'appel.</w:t>
      </w:r>
    </w:p>
    <w:p>
      <w:r>
        <w:rPr>
          <w:b/>
        </w:rPr>
        <w:t>E. 7</w:t>
      </w:r>
    </w:p>
    <w:p>
      <w:r>
        <w:t>Sur ce, la cause a été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 b. En l'espèce, la décision sur réclamation rendue le 27 juin 2017 par l'AFC-GE a été modifiée par elle et le « bordereau de taxation d'office Droit de succession no 2691/2014 du 12 mai 2017 » a été annulé, dans le sens souhaité par les recourantes. Or, cette même décision avait fait l'objet d'un recours au TAPI, qui l'a confirmée dans le jugement du 28 mai 2018 objet du présent recours. Les recourantes ayant conclu à l'annulation dudit jugement, il y a lieu de considérer qu'elles ont obtenu gain de cause à cet égard. Le recours est ainsi devenu sans objet et la cause sera rayée du rôle. 3. a. 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c. La juridiction saisie dispose d'un large pouvoir d'appréciation quant à la quotité de l'indemnité allouée et, de jurisprudence constante, celle-ci ne constitue qu'une participation aux honoraires d'avocat ( ATA/1484/2017 précité ; ATA/837/2013 du 19 décembre 2013), ce qui résulte aussi, implicitement, de l'art. 6 RFPA dès lors que ce dernier plafonne l'indemnité à CHF 10'000.-.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d.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ATA/1156/2017 du 2 août 2017). e. En l'espèce, l'activité déployée par le conseil des recourantes a comporté la rédaction de deux mémoires de recours devant le TAPI puis la chambre administrative et de répliques succinctes. L'état de fait ne présentait pas de complexité particulière, alors que la question juridique à trancher était de difficulté moyenne. Au regard de ces éléments, l'indemnité de procédure sera arrêtée à CHF 1'500.- pour les deux instances cantonales. 4. Conformément à la pratique de la chambre de céans, il ne sera pas perçu d'émolument, ni alloué d'indemnité de procédure pour le présent arrêt ( ATA/469/2018 du 15 mai 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