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A/3214/2023 vom 22. September 2020</w:t>
      </w:r>
    </w:p>
    <w:p>
      <w:r>
        <w:t>GE Cour de justice, 2020-09-22, FR</w:t>
      </w:r>
    </w:p>
    <w:p>
      <w:r>
        <w:rPr>
          <w:b/>
        </w:rPr>
        <w:t xml:space="preserve">Quelle: </w:t>
      </w:r>
      <w:r>
        <w:t>https://mcp.opencaselaw.ch/entscheid/ge_gerichte_A_3214_2023</w:t>
      </w:r>
    </w:p>
    <w:p>
      <w:r>
        <w:t>FR: GE_GERICHTE A/3214/2023 du 22 septembre 2020</w:t>
      </w:r>
    </w:p>
    <w:p>
      <w:r>
        <w:t>IT: GE_GERICHTE A/3214/2023 del 22 settembre 2020</w:t>
      </w:r>
    </w:p>
    <w:p>
      <w:pPr>
        <w:pStyle w:val="Heading2"/>
      </w:pPr>
      <w:r>
        <w:t>Regeste</w:t>
      </w:r>
    </w:p>
    <w:p>
      <w:r>
        <w:t>RETRAIT DE PERMIS;EXCÈS DE VITESSE;CONDUITE SANS AUTORISATION;CAS GRAVE;INFRACTION;NÉCESSITÉ;PROFESSION | LCR.16c.al1; LCR.16c.al2.letc; LCR.16.al3</w:t>
      </w:r>
    </w:p>
    <w:p>
      <w:pPr>
        <w:pStyle w:val="Heading2"/>
      </w:pPr>
      <w:r>
        <w:t>Volltext</w:t>
      </w:r>
    </w:p>
    <w:p>
      <w:r>
        <w:t>Genf Tribunal administratif de première instance en matière fiscale 09.07.2024 A/3214/2023 Genève Tribunal administratif de première instance en matière fiscale 09.07.2024 A/3214/2023 Ginevra Tribunal administratif de première instance en matière fiscale 09.07.2024 A/3214/2023</w:t>
      </w:r>
    </w:p>
    <w:p>
      <w:r>
        <w:t>RETRAIT DE PERMIS;EXCÈS DE VITESSE;CONDUITE SANS AUTORISATION;CAS GRAVE;INFRACTION;NÉCESSITÉ;PROFESSION | LCR.16c.al1; LCR.16c.al2.letc; LCR.16.al3</w:t>
      </w:r>
    </w:p>
    <w:p>
      <w:r>
        <w:t>A/3214/2023 JTAPI/684/2024 du 09.07.2024 ( LCR ) , REJETE Descripteurs : RETRAIT DE PERMIS;EXCÈS DE VITESSE;CONDUITE SANS AUTORISATION;CAS GRAVE;INFRACTION;NÉCESSITÉ;PROFESSION Normes : LCR.16c.al1; LCR.16c.al2.letc; LCR.16.al3 En fait En droit Par ces motifs RÉPUBLIQUE ET CANTON DE GENÈVE POUVOIR JUDICIAIRE A/3214/2023 LCR JTAPI/684/2024 JUGEMENT DU TRIBUNAL ADMINISTRATIF DE PREMIÈRE INSTANCE du 9 juillet 2024 dans la cause Monsieur A______ contre OFFICE CANTONAL DES VÉHICULES EN FAIT 1.             Monsieur A______, né le ______ 1972, est titulaire d’un permis de conduire valable pour la catégorie B depuis le 23 octobre 2012. 2.             Par décision du 22 septembre 2020, entrée en force, l'office cantonal des véhicules (ci-après : OCV) lui a retiré le permis de conduire toutes catégories, sous-catégories et catégorie spéciale F, pour une durée de cinq mois. Au guidon d’un motocycle, il avait dépassé la vitesse maximale autorisée en localité de 26 km/h et de 24 km/h, marge de sécurité déduite, et conduit sans être titulaire du permis de la catégorie correspondante, le 13 février 2020 respectivement à 8 heures 35 et 8 heures 38, sur la route de Meyrin. Le 10 août 2020 à 16 heures 50, toujours sur la route de Meyrin, il avait conduit un motocycle de la sous-catégorie A1, sans être titulaire du permis correspondant. 3.             Par décision du 31 août 2023, l’OCV a retiré le permis de conduire toutes catégories, sous-catégories et catégorie spéciale F de l’intéressé, pour une durée de treize mois. Il lui était reproché un dépassement de la vitesse maximale autorisée en localité de 29 km/h, marge de sécurité déduite, le 1 er août 2022, à 8 heures 06, sur la route des Fayards à Collex, au volant d’une voiture. Il ne pouvait pas justifier d’une bonne réputation vu son antécédent précité, soit une infraction grave. Son dépassement du 1 er août 2022 devait également être considéré comme une infraction grave au sens de l’art. 16c al. 1 let. a de la loi fédérale sur la circulation routière du 19 décembre 1958 (LCR - RS 741.01). Dès lors, la durée minimale du retrait s’élevait à douze mois (art. 16c al. 2 let. c LCR). Compte tenu de l’ensemble des circonstances et de la proximité de la récidive, la mesure s’écartait du minimum légal. 4.             Par acte du 28 septembre 2023, adressé à l’OCV qui l’a transmis au Tribunal administratif de première instance (ci-après : le tribunal) le 3 octobre 2023, M. A______, a formé recours contre cette décision concluant implicitement à son annulation. Depuis février 2022, il prenait des médicaments pour soigner un trouble du déficit de l’attention (ci-après : TDAH), avec de la peine à se concentrer quotidiennement. Il était en outre suivi psychologiquement chaque quinze jours. Depuis cette médication, il n’avait pas commis d’infraction. Sa mauvaise conduite était certainement liée à son handicap et à son manque d’attention. Actuellement et grâce à la médication, ces erreurs n’étaient plus possibles. 5.             Dans ses observations du 6 décembre 2023, l’OCV a conclu au rejet du recours. Le permis de conduire du recourant avait été retiré le 22 septembre 2020. Il avait récidivé moins de deux ans après la fin de l’exécution de cette mesure. Il avait été condamné pénalement pour les faits du 1 er août 2022. Considérant la gravité de l’infraction, que le recourant ne pouvait pas justifier d’un besoin professionnel de conduire et compte tenu de la proximité de la récidive, il s’était écarté du minimum prévu par l’art. 16c al. 2 let. c LCR. S’agissant de son TDAH, du traitement prescrit et de ses conséquences, il s’agissait d’allégations non prouvées qui auraient dû être avancées dans le cadre de la procédure pénale. Par ailleurs, il ne pouvait être suivi lorsqu’il affirmait n’avoir commis aucune infraction depuis la prescription de son traitement médicamenteux en février 2022, puisque l’infraction survenue le 1 er août 2022 avait eu lieu après. Il a produit son dossier dont l’ordonnance pénale du 8 mai 2023 du Ministère public du canton de Genève, condamnant M. A______ à une peine pécuniaire d’ensemble de 100 jours-amende, à CHF 180.-, pour violation grave des règles de la circulation routière (art. 90 al. 2 LCR). 6.             Le recourant a répliqué le 28 décembre 2023. Il était en mesure de démontrer le lien fondé de sa démarche médicale. Le psychiatre qu’il consultait se tenait à disposition. En août 2022, la médication n’était pas ajustée à son besoin. Aujourd’hui, elle l’était avec un dosage minimum journalier, soit de 17mg contre 52 mg. Il avait un besoin nécessaire de ce permis pour les déplacements familiaux et professionnels. Il préparait une expatriation à B______ (SEN) en 2024 et le retrait du permis de conduire serait une très forte contrainte. 7.             Dans sa duplique du 5 janvier 2024, l’OCV n’a pas fait valoir d’observations particulières. Lorsque la décision de retrait serait définitive, il aurait tout loisir de solliciter un report d’exécution allant jusqu’à six mois de la date initialement fixée, ce qui pourrait lui permettre de participer à son expédition à B______ (SEN) en mai 2024.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 5.             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 6.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7.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8.             Pour déterminer la durée et s'il y a lieu de prononcer un retrait d'admonestation, la LCR distingue les infractions légères, moyennement graves et graves (art. 16a à 16c LCR). 9.             Selon l’art. 16c al. 1 LCR, commet une infraction grave la personne qui, en violant gravement les règles de la circulation met sérieusement en danger la sécurité d’autrui ou en prend le risque (let. a) ou qui conduit un véhicule automobile alors que le permis de conduire lui a été retiré (let. f). En matière d’excès de vitesse, le Tribunal fédéral a maintes fois confirmé qu’un excès de plus de 25 km/h ou plus à l’intérieur d’une localité devait être considéré comme une faute grave (arrêt 1C_210/2020 consid. 2.2 du 30 novembre 2020 et les références citées). 10.         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 11.         Après une infraction grave, le permis d'élève conducteur ou le permis de conduire est retiré pour trois mois au minimum (art. 16c al. 2 let. a LCR). 12.         L'art. 16c al. 2 let. c LCR prévoit toutefois que le permis de conduire est retiré pour douze mois au minimum si, au cours des cinq années précédentes, le permis a été retiré une fois en raison d'une infraction grave ou à deux reprises en raison d'infractions moyennement graves. 13.         En vertu de l'art. 16 al. 3 LCR, les circonstances qui doivent être prises en considérations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être toutefois réduite. 14.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 15.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(ATF 128 II 285 , consid. 2.4 ; 123 II 572 , consid. 2c ; arrêt du Tribunal fédéral 1C_504/2011 du 7 mars 2012, consid. 4.1). 16.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 17.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 18.         En l’espèce, le recourant a commis deux fautes graves le 13 février 2020, soit en dépassant la vitesse autorisée en localité de 26 km/h et en conduisant sans autorisation. Il a à nouveau commis une faute grave le 10 août 2020 toujours en conduisant sans être titulaire du permis correspondant. Ces faits lui ont valu son premier retrait de permis pour faute grave le 22 septembre 2020. Il a par ailleurs définitivement été reconnu coupable par les juridictions pénales de violation grave des règles de la circulation routière au sens de l’art. 90 al. 2 LCR, pour les faits du 1 er août 2022. C'est donc à juste titre que l’OCV a qualifié sa dernière infraction de faute grave et lui a interdit de faire usage de son permis de conduire étranger sur le territoire suisse pour une durée de treize mois. L’autorité intimée ne pouvait pas s’écarter à la baisse du seuil minimal légal de douze mois prévu par l’art. 16c al. 2 let. c LCR. Par ailleurs, vu l’atteinte sérieuse à la sécurité routière commise à réitérées reprises en 2020 en l’espace de six mois, la proximité de la récidive et la faute du recourant, l’OCV était pleinement fondé à s’écarter de la durée minimale incompressible de douze mois pour élever la durée du retrait à treize mois. 19.         Le recourant ne peut valablement se prévaloir d'un besoin professionnel de conduire au sens strict où l'entendent la jurisprudence et la doctrine. Enfin, le fait que son TDAH aurait, selon, lui un lien avec la commission des infractions, ne plaide pas en sa faveur. Au contraire, si sa médication n’était pas stabilisée, il lui appartenait de ne pas prendre le volant afin de ne pas attenter à la sécurité d’autrui. Par ailleurs, il est douteux que l’administration de son traitement pour des troubles de la concentration ait été à ce point mal réglé qu’il en ait oublié ne pas avoir le droit de conduire sans permis. Dans ces conditions, le tribunal estime que l'OCV n'a pas excédé ou abusé de son large pouvoir d'appréciation pour s'écarter du minimum légal de douze mois, décision qui apparait dès lors conforme au principe de la proportionnalité qui gouverne toute action étatique (art. 36 de la Constitution fédérale de la Confédération suisse du 18 avril 1999 - Cst. - RS 101). 20.         Mal fondé, le recours sera rejeté et la décision querellée confirmée. 21.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22.         Vu l’issue du litige, aucune indemnité de procédure ne sera allouée (art. 87 al. 2 LPA). PAR CES MOTIFS LE TRIBUNAL ADMINISTRATIF DE PREMIÈRE INSTANCE 1.             déclare recevable le recours interjeté le 28 septembre 2023 par Monsieur A______ contre la décision de l'office cantonal des véhicules du 31 août 2023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