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A/3211/2024 vom 29. Oktober 2024</w:t>
      </w:r>
    </w:p>
    <w:p>
      <w:r>
        <w:t>GE Cour de justice, 2024-10-29, FR</w:t>
      </w:r>
    </w:p>
    <w:p>
      <w:r>
        <w:rPr>
          <w:b/>
        </w:rPr>
        <w:t xml:space="preserve">Quelle: </w:t>
      </w:r>
      <w:r>
        <w:t>https://mcp.opencaselaw.ch/entscheid/ge_gerichte_A_3211_2024</w:t>
      </w:r>
    </w:p>
    <w:p>
      <w:r>
        <w:t>FR: GE_GERICHTE A/3211/2024 du 29 octobre 2024</w:t>
      </w:r>
    </w:p>
    <w:p>
      <w:r>
        <w:t>IT: GE_GERICHTE A/3211/2024 del 29 ottobre 2024</w:t>
      </w:r>
    </w:p>
    <w:p>
      <w:pPr>
        <w:pStyle w:val="Heading2"/>
      </w:pPr>
      <w:r>
        <w:t>Erwägungen</w:t>
      </w:r>
    </w:p>
    <w:p>
      <w:r>
        <w:rPr>
          <w:b/>
        </w:rPr>
        <w:t>E. 1</w:t>
      </w:r>
    </w:p>
    <w:p>
      <w:r>
        <w:t>Le recours est interjeté en temps utile devant la juridiction compétente (art. 132 de la loi sur l'organisation judiciaire du 26 septembre 2010 - LOJ ‑ E 2 05 ; art. 62 al. 1 let. a de la loi sur la procédure administrative du 12 septembre 1985 ‑ LPA ‑ E 5 10). L’examen complet de sa recevabilité sera effectué dans l’arrêt final.</w:t>
      </w:r>
    </w:p>
    <w:p>
      <w:r>
        <w:rPr>
          <w:b/>
        </w:rPr>
        <w:t>E. 2</w:t>
      </w:r>
    </w:p>
    <w:p>
      <w:r>
        <w:t>Les décisions sur effet suspensif et mesures provisionnelles sont prises par le président, respectivement par la vice-présidente, ou en cas d’empêchement de ceux-ci, par un ou une juge (art. 21 al. 2 LPA ; 9 al. 1 du règlement interne de la chambre administrative du 20 juin 2020).</w:t>
      </w:r>
    </w:p>
    <w:p>
      <w:r>
        <w:rPr>
          <w:b/>
        </w:rPr>
        <w:t>E. 2.1</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 Selon la jurisprudence, il y a lieu d'effectuer une pesée entre les intérêts public et privé en jeu, étant précisé que l'autorité peut aussi tenir compte des chances de succès du recours ( ATA/962/2016 du 14 novembre 2016 ; ATA/192/2014 du 31 mars 2014 ; ATA/650/2011 du 17 octobre 2011 consid. 2).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ATA/962/2016 précité ; ATA/192/2014 précité ; ATA/190/2013 du 22 mars 2013 consid. 4).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ATA/962/2016 précité ; ATA/192/2014 précité ; ATA/650/2011 précité consid. 2 ; Fritz GYGI, Beiträge zum Verfassungs- und Verwaltungsrecht, 1986, p. 481) en créant une situation de fait quasi irréversible (arrêt du Tribunal fédéral 2C_356/2007 du 18 septembre 2007).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2.2</w:t>
      </w:r>
    </w:p>
    <w:p>
      <w:r>
        <w:t>Par ailleurs, selon la jurisprudence constante, les mesures provisionnelles – au nombre desquelles compte le retrait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 L’octroi de mesures provisionnelles présuppose l’urgence, à savoir que le refus de les ordonner crée pour l’intéressé la menace d’un dommage difficile à réparer (ATF 130 II 149 consid. 2.2 ; 127 II 132 consid. 3, in RDAF 2002 I 405 ).</w:t>
      </w:r>
    </w:p>
    <w:p>
      <w:r>
        <w:rPr>
          <w:b/>
        </w:rPr>
        <w:t>E. 2.3</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En application de ces principes, le recours d’un particulier ou d'une association, formé dans l’intérêt général ou d’un tiers, est irrecevable (ATF 138 II 162 consid. 2.1.1 ; arrêt du Tribunal fédéral 1C_61/2019 du 12 juillet 2019 consid. 1.2 ; ATA/23/2021 du 12 janvier 2021 consid. 4).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Un intérêt purement théorique à la solution d'un problème est de même insuffisant (ATF 144 I 43 consid. 2.1). Une association jouissant de la personnalité juridique est autorisée à former un recours en son nom propre lorsqu'elle est touchée dans ses intérêts dignes de protection (art. 60 al. 1 let. a et b LPA). Une association peut faire valoir les intérêts de ses membres lorsqu’il s’agit d’intérêts qu’elle doit statutairement protéger, qui sont communs à la majorité ou à un grand nombre de ses membres et que chacun a qualité pour s’en prévaloir à titre individuel, aussi nommé « recours corporatif égoïste » (ATF 145 V 128 consid. 2.2 ; 137 II 40 consid. 2.6.4 ; 131 I 198 consid. 2.1 ; arrêt du Tribunal fédéral 2C_52/2009 du 13 janvier 2010 consid 1.2.2, non publié in ATF 136 I 1 ). Ces conditions doivent être remplies cumulativement ;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(JdT 2011 p. 286 consid. 1.1.1 et les références citées). En revanche, elle ne peut prendre fait et cause pour l'un de ses membres ou pour une minorité d'entre eux (ATF 145 V 128 consid. 2.2 ;142 II 80 consid. 1.4.2 ; arrêt du Tribunal fédéral 2C_749/2021 du 16 mars 2022 consid. 1.2.1 ; ATA/1064/2022 du 18 octobre 2022 consid. 5b). Ont aussi qualité pour recourir les organisations auxquelles la loi reconnaît le droit de recourir (art. 60 al. 1 let. e LPA). Selon l’art. 1 de la Convention d’Aarhus, afin de contribuer à protéger le droit de chacun, dans les générations présentes et futures, de vivre dans un environnement propre à assurer sa santé et son bien-être, chaque Partie garantit les droits d’accès à l’information sur l’environnement, de participation du public au processus décisionnel et d’accès à la justice en matière d’environnement conformément aux dispositions de la Convention. Le terme « public » désigne une ou plusieurs personnes physiques ou morales et, conformément à la législation ou à la coutume du pays, les associations, organisations ou groupes constitués par ces personnes (art. 2 par. 4 de la Convention).</w:t>
      </w:r>
    </w:p>
    <w:p>
      <w:r>
        <w:rPr>
          <w:b/>
        </w:rPr>
        <w:t>E. 2.4</w:t>
      </w:r>
    </w:p>
    <w:p>
      <w:r>
        <w:t>Selon l’art. 16 al. 1 de loi sur la faune du 7 octobre 1993 (LFaune - M 5 05), pour prévenir des dommages ou des nuisances excessifs, et pour diminuer des dangers manifestes, le Conseil d’État peut, après épuisement des mesures préventives, et sur préavis de la commission instituée à l’art. 37 LFaune, autoriser le département à prendre des mesures régulatrices pour assurer une sélection et un meilleur état sanitaire de la faune ou pour réduire les espèces occasionnant des perturbations. La commission est formée de deux membres, dont un désigné par les milieux de protection de la nature et un par ceux de la protection des animaux. Ces représentants sont également membres de droit de la commission consultative de la diversité biologique (art. 37 al. 2 LFaune). La commission consultative de la diversité biologique assiste le département dans l’application de la présente loi (art. 34 al. 1 LFaune). Selon l’art. 15 du règlement d’application de la loi sur la faune du 13 avril 1994 (RFaune - M 5 05.01), le Conseil d’État fixe, par voie d’arrêté, les espèces animales dont la régulation est autorisée (al. 1). Seuls les agents de l’office cantonal sont habilités à intervenir, si nécessaire, à l’intérieur des secteurs protégés (al. 2).</w:t>
      </w:r>
    </w:p>
    <w:p>
      <w:r>
        <w:rPr>
          <w:b/>
        </w:rPr>
        <w:t>E. 3</w:t>
      </w:r>
    </w:p>
    <w:p>
      <w:r>
        <w:t>En l’occurrence, l’arrêté litigieux n’a pas été déclaré exécutoire nonobstant recours, si bien qu’il a effet suspensif de plein droit. Dans sa réponse, l’autorité intimée sollicite le retrait de l’effet suspensif, ce à quoi les recourants s’opposent. Il appert toutefois, et sans préjudice de l’examen au fond, que l’autorité intimée peut se prévaloir d’un intérêt public important au retrait de l'effet suspensif, à savoir le maintien d’un équilibre entre activités sylvicoles, agricoles et de loisirs, d’une part, et la présence de la faune, dont font partie les cerfs, d’autre part. La mesure sollicitée a pour but d’éviter le problème des surdensités des cerfs impactant négativement l’agriculture et la forêt. Elle vise également à diminuer les risques d’accidents entre véhicules et cerfs (notamment le long de la route de Sauverny) et à contribuer à l’effort de régulation de cette espèce au niveau régional. La protection des animaux, et l’intérêt à la conservation d’une population de cerfs dans les Bois de Versoix, constituent certes également des intérêts publics importants. Toutefois, comme l’explique l’autorité intimée, la mesure sollicitée ne menace pas la présence du cerf au vu de son indice kilométrique d’abondance et de la densité de ses effectifs. Quant à l’intérêt à la protection des animaux, il apparaît a priori avoir été pris en compte au vu des nombreuses mesures préventives déjà prises par le canton de Genève depuis plusieurs années, soit en particulier la mise en place de surface de gagnage en forêt, la délimitation de zones de tranquillité, la régulation du trafic routier et la mise en place de clôtures de protection des cultures. L’autorité intimée a notamment expliqué que ces mesures avaient été mises en place depuis 2013 et qu’en 2023-2024, la longueur des clôtures électrifiées nécessaires à la protection des cultures ayant atteint 24 kilomètres, soit 80% des cultures de la région de Versoix. L’intérêt – purement idéal – des recourants à la protection des animaux ne saurait ainsi l’emporter, à ce stade de la procédure, face aux enjeux publics de régénération de la forêt et de réduction des dégâts aux cultures. Quant aux chances de succès du recours, elles n’apparaissent prima facie pas évidentes. À première vue, le seul fait pour le recourant de s’engager pour la protection des animaux et de la faune sauvage est, en soi, insuffisant à démontrer qu’il est touché dans un intérêt personnel se distinguant nettement de l’intérêt général. Le fait qu’il soit un promeneur régulier des Bois de Versoix ne suffit pas non plus à lui fonder une qualité pour recourir, l’intéressé n’apparaissant pas plus touché qu’un autre usager des Bois de Versoix. Quant à l’association recourante, elle ne conteste pas qu’aucune disposition légale – fédérale ou cantonale – ne lui confère la qualité pour recourir. Ses buts statutaires se rapportent au remplacement de l’expérimentation animale par des méthodes plus étiques, à l’adoption d’une législation qui garantisse la défense et le respect des animaux et à la production d’un contenu informatif et factuel en lien avec les buts et objectifs de l’association. Comme le relève l’autorité intimée, la protection de la nature et de la faune sauvage ne font a priori pas partie de ses buts statutaires. L’association recourante n’a pas non plus démontré que chacun de ses membres avait, à titre individuel, qualité pour recourir. Il est enfin douteux que l’art. 2 par. 4 de la Convention d’Aarhus s’applique à la question de la régulation de la faune sauvage. S’ajoute à cela que dans l’arrêt Verein Klimaseniorinnen Schweiz et autres c. Suisse rendu par la Grande Chambre de la CourEDH du 9 avril 2024, cité par les recourants, la qualité pour recourir de l’association découlait notamment de la nature particulière du changement climatique, sujet de préoccupation pour l’humanité toute entière. Or, une telle configuration ne ressort pas de la présente affaire. Partant, la question de la recevabilité du recours paraît prima facie douteuse sous l’angle de la qualité pour recourir. Les chances de succès du recours apparaissent ainsi, et sans préjudice de l’examen au fond, insuffisantes pour contrebalancer les intérêts publics à la mise en place immédiate de la réglementation prévue par l'arrêté attaqué, si bien que la chambre de céans ordonnera le retrait de l’effet suspensif au recours. Il conviendra toutefois que le présent dossier soit traité rapidement compte tenu de la durée de validité dudit arrêté.</w:t>
      </w:r>
    </w:p>
    <w:p>
      <w:r>
        <w:rPr>
          <w:b/>
        </w:rPr>
        <w:t>E. 4</w:t>
      </w:r>
    </w:p>
    <w:p>
      <w:r>
        <w:t>Le sort des frais de la procédure est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