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A/3206/2023 vom 13. Mai 2025</w:t>
      </w:r>
    </w:p>
    <w:p>
      <w:r>
        <w:t>GE Cour de justice, 2025-05-13, FR</w:t>
      </w:r>
    </w:p>
    <w:p>
      <w:r>
        <w:rPr>
          <w:b/>
        </w:rPr>
        <w:t xml:space="preserve">Quelle: </w:t>
      </w:r>
      <w:r>
        <w:t>https://mcp.opencaselaw.ch/entscheid/ge_gerichte_A_3206_2023</w:t>
      </w:r>
    </w:p>
    <w:p>
      <w:r>
        <w:t>FR: GE_GERICHTE A/3206/2023 du 13 mai 2025</w:t>
      </w:r>
    </w:p>
    <w:p>
      <w:r>
        <w:t>IT: GE_GERICHTE A/3206/2023 del 13 maggio 2025</w:t>
      </w:r>
    </w:p>
    <w:p>
      <w:pPr>
        <w:pStyle w:val="Heading2"/>
      </w:pPr>
      <w:r>
        <w:t>Erwägungen</w:t>
      </w:r>
    </w:p>
    <w:p>
      <w:r>
        <w:rPr>
          <w:b/>
        </w:rPr>
        <w:t>E. 2</w:t>
      </w:r>
    </w:p>
    <w:p>
      <w:r>
        <w:t>Le recourant demande son audition ainsi que celle de son épouse et de H______.</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 recourant a eu l’occasion de faire valoir son point de vue tout au long de la procédure devant l’OCPM, le TAPI, puis la chambre de céans. Il a, en outre, pu produire toutes les pièces qu’il estimait utiles. Il ne motive pas ses demandes d’audition et n’explique pas en quoi celles-ci seraient nécessaires à la solution du litige. S'agissant de l'audition d'un témoin, à savoir l'ancienne logopédiste de sa fille, cette spécialiste a déjà rédigé une attestation détaillée qui figure au dossier et dont le contenu n'est pas contesté. On ne voit dès lors pas en quoi son audition serait utile à la résolution du litige. Il s'ensuit que les actes d'instruction demandés seront refusés.</w:t>
      </w:r>
    </w:p>
    <w:p>
      <w:r>
        <w:rPr>
          <w:b/>
        </w:rPr>
        <w:t>E. 3</w:t>
      </w:r>
    </w:p>
    <w:p>
      <w:r>
        <w:t>Le recourant invoque comme premier grief une constatation inexacte des faits. Il ressort toutefois de la motivation de ce grief que ce n'est pas la constatation des faits qui lui pose problème, mais l'appréciation qui en est faite – et qui, tout comme la proportionnalité de la décision, ressortit au grief de mauvaise application de la loi, à savoir les art. 30 LEI et 31 OASA.</w:t>
      </w:r>
    </w:p>
    <w:p>
      <w:r>
        <w:rPr>
          <w:b/>
        </w:rPr>
        <w:t>E. 4</w:t>
      </w:r>
    </w:p>
    <w:p>
      <w:r>
        <w:t>Il convient dès lors d'examiner si le jugement attaqué respecte les dispositions précitées.</w:t>
      </w:r>
    </w:p>
    <w:p>
      <w:r>
        <w:rPr>
          <w:b/>
        </w:rPr>
        <w:t>E. 4.1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4.2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soit comme en l’espèce le 1 er septembre 2021, sont régies par le nouveau droit.</w:t>
      </w:r>
    </w:p>
    <w:p>
      <w:r>
        <w:rPr>
          <w:b/>
        </w:rPr>
        <w:t>E. 4.3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4.4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 er novembre 2022 consid. 5.4).</w:t>
      </w:r>
    </w:p>
    <w:p>
      <w:r>
        <w:rPr>
          <w:b/>
        </w:rPr>
        <w:t>E. 4.5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4.6</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F-1700/2022 du 10 janvier 2024 consid. 7.5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 novembre 1989 (CDE - RS 0.107) ; arrêts du Tribunal fédéral 2A.679/2006 du 9 février 2007 consid. 3 et 2A.43/2006 du 31 mai 2006 consid. 3.1 ; arrêt du Tribunal administratif fédéral C 3592/2010 du 8 octobre 2012 consid. 6.2 ; ATA/434/2020 du 31 avril 2020 consid. 10).</w:t>
      </w:r>
    </w:p>
    <w:p>
      <w:r>
        <w:rPr>
          <w:b/>
        </w:rPr>
        <w:t>E. 4.8</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ATA/1474/2024 du 17 décembre 2024 consid. 3.8 ; ATA/766/2024 précité consid. 2.8).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4.9</w:t>
      </w:r>
    </w:p>
    <w:p>
      <w:r>
        <w:t>En 2023, la chambre de céans a examiné la situation d’un enfant âgé de près de 11 ans, scolarisé en Suisse dans une filière spécifique en raison d’un retard de langage et d’un trouble du développement, dont le suivi en logopédie avait pris fin depuis plusieurs mois, et qui nécessitait des séances de psychothérapie et la prise d’un neuroleptique. Elle a jugé qu’il pouvait être pris en charge au Kosovo qui disposait de pédopsychiatres, infirmières, psychologues et travailleurs sociaux à même de traiter et de prendre en charge l’ensemble du spectre des troubles affectant les enfants et les adolescents. Des cours de rattrapage pour enfants présentant des retards de développement étaient disponibles dans la capitale, tout comme, dans tout le pays, des classes d’éducation spécialisée rattachées à l’école publique (arrêt ATA/247/2023 du 14 mars 2023 consid. 5.2).</w:t>
      </w:r>
    </w:p>
    <w:p>
      <w:r>
        <w:rPr>
          <w:b/>
        </w:rPr>
        <w:t>E. 4.10</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Ces conditions devaient être remplies au moment du dépôt de la demande d’autorisation de séjour ( ATA/1056/2023 du 26 septembre 2023 consid. 2.4 ; ATA/121/2021 du 2 février 2021 consid. 8b).</w:t>
      </w:r>
    </w:p>
    <w:p>
      <w:r>
        <w:rPr>
          <w:b/>
        </w:rPr>
        <w:t>E. 4.11</w:t>
      </w:r>
    </w:p>
    <w:p>
      <w:r>
        <w:t>En l'espèce, les recourants ne contestent pas que ce soit à juste titre que le TAPI a considéré qu'ils ne pouvaient se prévaloir de l'« opération Papyrus », leur demande de régularisation ayant été déposée après l'achèvement de ladite opération. De surcroît, au moment du dépôt de leur demande, le recourant n'avait pas séjourné dix ans en Suisse – même à retenir qu'il s'y soit installé en 2014 – et son épouse et leur fille y séjournaient depuis moins de cinq ans, de sorte qu'ils n'auraient pas rempli les conditions de séjour y relatives. Du point de vue des conditions du cas d'extrême gravité, quand bien même on admettrait un séjour du recourant en Suisse depuis 2014 – dont la durée devrait être ainsi qualifiée de longue –, ladite durée devrait être relativisée dès lors que l'intégralité du séjour du recourant a été effectuée dans l'illégalité ou, depuis le dépôt de la demande de régularisation, au bénéfice d'une simple tolérance des autorités de migration. Il en va de même du séjour de sa femme et de sa fille, qui ne seraient arrivées en Suisse que deux ans plus tard. Le recourant ne peut se prévaloir d'une intégration socioprofessionnelle remarquable. S’il est vrai qu’il a toujours travaillé et subvient à ses besoins ainsi qu’à ceux de sa famille et qu’il maîtrise la langue française au niveau requis, son activité dans le domaine du bâtiment ne répond pas à la définition d’une intégration extraordinaire, conformément à la jurisprudence mentionnée plus haut. De plus, quand bien même la procédure pénale concernant le faux dans les titres a été classée, il fait l'objet d'une condamnation pénale en matière de circulation routière, pour des infractions qui ne peuvent être qualifiées de bagatelles (en particulier la violation des obligations en cas d’accident), ce qui constitue un facteur négatif marqué en matière d'intégration. Ce qui précède vaut à plus forte raison – sauf pour ce qui est de la condamnation pénale, celle dirigée contre elle ayant été entièrement classée – pour l'épouse du recourant, celle‑ci n'ayant jamais travaillé, ni démontré posséder des notions suffisantes de français puisqu'elle n'a fourni aucune attestation à ce sujet. Leur fille, âgée de 10 ans, bien qu'elle soit en Suisse depuis son plus jeune âge, n'est pas encore entrée dans l'adolescence et, conformément à la jurisprudence, son intégration au milieu socioculturel suisse n'est pas si profonde et irréversible qu'un retour dans sa patrie constituerait un déracinement complet. Les connaissances qu'elle a acquises jusqu'ici au niveau primaire sont d'ordre général. De plus, comme relevé à juste titre par le TAPI, il apparaît peu probable qu'elle ne sache absolument pas l'albanais, comme le prétend le recourant, dans la mesure où l'on ne peut guère envisager qu'elle ne parle que français avec sa mère. S'agissant de leurs possibilités de réintégration dans leur pays d'origine, le recourant et son épouse sont nés au Kosovo, dont ils parlent la langue. Ils y ont vécu leur enfance, leur adolescence et le début de leur vie d'adulte, le recourant étant – dans l'hypothèse qui lui est la plus favorable – arrivé en Suisse à l'âge de 21 ans, et la recourante à l'âge de 22 ans. Ils ont encore des liens avec leur pays d'origine, puisqu'y vivent leur fratrie respective, les parents du recourant et la mère de son épouse ; ils ont également sollicité deux visas de retour en 2021 et 2022 pour se rendre au Kosovo avec leur fille. En toute hypothèse, les années que le recourant et son épouse ont passées en Suisse ne les ont pas rendus étrangers à leur culture d’origine ni à leur langue maternelle. Les recourants sont tous deux jeunes et, de retour dans leur pays d'origine, ils pourront faire valoir les connaissances linguistiques acquises en Suisse ainsi que, pour le recourant, son expérience professionnelle. S’agissant de l'état de santé de l'épouse du recourant, il est établi qu’elle a été diagnostiquée, en 2018, d’un cancer du côlon traité et dont elle est désormais guérie. L’arrêt du suivi oncologique a été préconisé en février 2024. En l’état, il n’apparaît pas qu’elle souffrirait d’un quelconque problème de santé répondant aux critères jurisprudentiels énoncés plus haut, la précitée n'ayant de surcroît pas de liens particulièrement intenses avec la Suisse. L’aspect médical sera discuté plus avant en lien avec la question de l’exécution du renvoi. Enfin, le recourant soutient que les problèmes de développement de sa fille dans le domaine du langage auraient dû conduire l'autorité à accorder aux trois membres de la famille des autorisations de séjour pour cas d'extrême gravité. Or, comme relevé à juste titre par le TAPI, elle ne bénéficie plus d’aucun suivi en logopédie depuis mars 2024 – ce qui n'est pas contesté –, étant précisé qu’au besoin, un tel suivi serait disponible au Kosovo. Dans ces circonstances, il n'apparaît pas que les difficultés auxquelles le recourant et sa famille devront faire face en cas de retour au Kosovo seraient pour eux plus graves que pour la moyenne des étrangers, en particulier des ressortissants kosovars retournant dans leur pays. Ils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les recourants, et l'instance précédente à confirmer ledit refus.</w:t>
      </w:r>
    </w:p>
    <w:p>
      <w:r>
        <w:rPr>
          <w:b/>
        </w:rPr>
        <w:t>E. 5</w:t>
      </w:r>
    </w:p>
    <w:p>
      <w:r>
        <w:t>Le recourant conteste que l'exécution du renvoi de son épouse et de sa fille soit raisonnablement exigible.</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 d al. 1 LEI).</w:t>
      </w:r>
    </w:p>
    <w:p>
      <w:r>
        <w:rPr>
          <w:b/>
        </w:rPr>
        <w:t>E. 5.2</w:t>
      </w:r>
    </w:p>
    <w:p>
      <w:r>
        <w:t>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TAF F-5549/2020 du 17 octobre 2022 consid 7.1 ; ATA/735/2024 du 18 juin 2024 consid. 4.2).</w:t>
      </w:r>
    </w:p>
    <w:p>
      <w:r>
        <w:rPr>
          <w:b/>
        </w:rPr>
        <w:t>E. 5.3</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w:t>
      </w:r>
    </w:p>
    <w:p>
      <w:r>
        <w:rPr>
          <w:b/>
        </w:rPr>
        <w:t>E. 5.4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Le Tribunal administratif fédéral (ci-après : TAF) a déjà retenu qu’un suivi du cancer était réalisable au Kosovo, en particulier à Pristina (arrêt du TAF F‑282/2015 du 18 juillet 2016 consid. 7.2.2).</w:t>
      </w:r>
    </w:p>
    <w:p>
      <w:r>
        <w:rPr>
          <w:b/>
        </w:rPr>
        <w:t>E. 5.5</w:t>
      </w:r>
    </w:p>
    <w:p>
      <w:r>
        <w:t>En l’espèce, dès lors que les recourants ne remplissent pas les conditions d'octroi d'une autorisation de séjour pour cas d'extrême gravité, l’OCPM devait ordonner leur renvoi de Suisse en application de l’art. 64 al. 1 let. c LEI. Reste toutefois à déterminer si l’exécution de cette mesure peut être raisonnablement exigée au sens de l’art. 83 al. 4 LEI, au vu des problèmes de santé de son épouse et de sa fille. Comme déjà exposé, la fille du recourant ne bénéficie plus d'un suivi logopédique à Genève, et pourrait en bénéficier au Kosovo, si bien que sa situation ne remplit pas les conditions de la jurisprudence exposées ci-dessus. Il en va de même de son épouse. Si le recourant insiste sur la possibilité d'une reprise de la maladie, celle-ci n'est pas attestée par les certificats médicaux figurant au dossier, qui parlent de guérison. De plus, un suivi serait possible au Kosovo. Il s'ensuit que l'état de santé de l'épouse du recourant ne peut être considéré comme s'opposant à l'exécution du renvoi des membres de la famille. Il découle de ce qui précède que l’exécution du renvoi du recourant, de son épouse et de leur fille est possible, licite et raisonnablement exigible. Mal fondé, le recours sera rejeté.</w:t>
      </w:r>
    </w:p>
    <w:p>
      <w:r>
        <w:rPr>
          <w:b/>
        </w:rPr>
        <w:t>E. 6</w:t>
      </w:r>
    </w:p>
    <w:p>
      <w:r>
        <w:t>Vu l'issue du recours,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