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A/3197/2024 vom 17. Januar 2025</w:t>
      </w:r>
    </w:p>
    <w:p>
      <w:r>
        <w:t>GE Cour de justice, 2025-01-17, FR</w:t>
      </w:r>
    </w:p>
    <w:p>
      <w:r>
        <w:rPr>
          <w:b/>
        </w:rPr>
        <w:t xml:space="preserve">Quelle: </w:t>
      </w:r>
      <w:r>
        <w:t>https://mcp.opencaselaw.ch/entscheid/ge_gerichte_A_3197_2024</w:t>
      </w:r>
    </w:p>
    <w:p>
      <w:r>
        <w:t>FR: GE_GERICHTE A/3197/2024 du 17 janvier 2025</w:t>
      </w:r>
    </w:p>
    <w:p>
      <w:r>
        <w:t>IT: GE_GERICHTE A/3197/2024 del 17 gennaio 2025</w:t>
      </w:r>
    </w:p>
    <w:p>
      <w:pPr>
        <w:pStyle w:val="Heading2"/>
      </w:pPr>
      <w:r>
        <w:t>Erwägungen</w:t>
      </w:r>
    </w:p>
    <w:p>
      <w:r>
        <w:rPr>
          <w:b/>
        </w:rPr>
        <w:t>E. 2</w:t>
      </w:r>
    </w:p>
    <w:p>
      <w:r>
        <w:t>Le recourant a été mis en liberté et a quitté la Brenaz le 16 septembre 2024, ce qui pose la question de son intérêt actuel au recours.</w:t>
      </w:r>
    </w:p>
    <w:p>
      <w:r>
        <w:rPr>
          <w:b/>
        </w:rPr>
        <w:t>E. 2.1</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rPr>
          <w:b/>
        </w:rPr>
        <w:t>E. 2.2</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w:t>
      </w:r>
    </w:p>
    <w:p>
      <w:r>
        <w:rPr>
          <w:b/>
        </w:rPr>
        <w:t>E. 2.3</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ou lorsqu’une décision n’est pas susceptible de se renouveler mais que les intérêts des recourants sont particulièrement touchés avec des effets qui vont perdurer (ATF 136 II 101 ; 135 I 79 ).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rPr>
          <w:b/>
        </w:rPr>
        <w:t>E. 2.4</w:t>
      </w:r>
    </w:p>
    <w:p>
      <w:r>
        <w:t>La jurisprudence a toutefois admis que l’autorité de recours doit entrer en matière même s’il n’existe plus d’intérêt actuel et pratique au recours lorsque la partie recourante invoque de manière défendable un grief fondé sur la Convention de sauvegarde des droits de l’homme et des libertés fondamentales du 4 novembre 1950 (CEDH - RS 0.101 ; ATF 142 I 135 consid. 1.3.1 ; 139 I 206 consid. 1.2.1 ; arrêt du Tribunal fédéral 2C_1028/2021 du 16 novembre 2022 consid. 1.2 ; ATA/460/2023 du 2 mai 2023 consid. 3.2).</w:t>
      </w:r>
    </w:p>
    <w:p>
      <w:r>
        <w:rPr>
          <w:b/>
        </w:rPr>
        <w:t>E. 3</w:t>
      </w:r>
    </w:p>
    <w:p>
      <w:r>
        <w:t>En l’espèce, le recourant a été libéré le 16 septembre 2024. Il ne fait valoir aucun grief de violation de ses droits de rang conventionnel. En application de la jurisprudence constante de la chambre de céans, il n’y a dès lors aucune raison de passer outre l’exigence de l’intérêt actuel ( ATA/765/2023 du 13 juillet 2023 ; ATA/672/2023 du 21 juin 2023 ; ATA/575/2023 du 1er juin 2023). Par ailleurs, il ne peut être entré en matière sur les conclusions en indemnisation des conditions de détention illicites, celles-ci relevant des normes ordinaires en matière de responsabilité de l'État (ATF 141 IV 349 consid. 4.3 ; ATA/498/2021 du 11 mai 2021 consid. 2c ; ATA/735/2022 du 14 juillet 2022 consid. 6c ; ATA/667/2022 du 24 juin 2022). La chambre de céans n'est ainsi pas compétente pour connaître de ces prétentions, qui relèvent de la compétence du Tribunal civil de première instance. Vu ce qui précède, le recours a perdu son objet en cours de procédure, ce qu’il y a lieu de constater, et la cause devra être rayée du rôle.</w:t>
      </w:r>
    </w:p>
    <w:p>
      <w:r>
        <w:rPr>
          <w:b/>
        </w:rPr>
        <w:t>E. 4</w:t>
      </w:r>
    </w:p>
    <w:p>
      <w:r>
        <w:t>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