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A/3194/2024 vom 2. Dezember 2024</w:t>
      </w:r>
    </w:p>
    <w:p>
      <w:r>
        <w:t>GE Cour de justice, 2024-12-02, FR</w:t>
      </w:r>
    </w:p>
    <w:p>
      <w:r>
        <w:rPr>
          <w:b/>
        </w:rPr>
        <w:t xml:space="preserve">Quelle: </w:t>
      </w:r>
      <w:r>
        <w:t>https://mcp.opencaselaw.ch/entscheid/ge_gerichte_A_3194_2024</w:t>
      </w:r>
    </w:p>
    <w:p>
      <w:r>
        <w:t>FR: GE_GERICHTE A/3194/2024 du 2 décembre 2024</w:t>
      </w:r>
    </w:p>
    <w:p>
      <w:r>
        <w:t>IT: GE_GERICHTE A/3194/2024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d'entrer en matière sur la nouvelle demande de prestations du recourant.</w:t>
      </w:r>
    </w:p>
    <w:p>
      <w:r>
        <w:rPr>
          <w:b/>
        </w:rPr>
        <w:t>E. 3.1</w:t>
      </w:r>
    </w:p>
    <w:p>
      <w:r>
        <w:t>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3.2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3.3</w:t>
      </w:r>
    </w:p>
    <w:p>
      <w:r>
        <w:t>Le principe inquisitoire, selon lequel les faits pertinents de la cause doivent être constatés d'office par l'autorité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 juge doit examiner la situation d'après l'état de fait tel qu'il se présentait à l'administration au moment où celle-ci a statué (ATF 130 V 64 consid. 5.2.5 p. 68 ; arrêts du Tribunal fédéral 9C_708/2007 du 11 septembre 2008 consid. 2.3 ; I 52/03 du 16 janvier 2004 consid. 2.2 ; 9C_789/2012 du 27 juillet 2013, consid. 2). Son examen se limite, ainsi, au point de savoir si les pièces déposées en procédure administrative justifient ou non la reprise de l'instruction du dossier (arrêt du Tribunal fédéral 9C_789/2012 du 27 juillet 2013, consid. 4.1). Il ne sera donc pas tenu compte des rapports produits postérieurement à la décision litigieuse (ATF 130 V 64 consid. 5.2.5 ; 121 V 366 consid. 1b et les références ; arrêt du Tribunal fédéral 9C_959/2011 du 6 août 2012 consid. 4.3).</w:t>
      </w:r>
    </w:p>
    <w:p>
      <w:r>
        <w:rPr>
          <w:b/>
        </w:rPr>
        <w:t>E. 4</w:t>
      </w:r>
    </w:p>
    <w:p>
      <w:r>
        <w:t>En l’occurrence, le recourant a fourni, antérieurement à la décision litigieuse, des rapports et notes de suite du Dr B______ du département de chirurgie des HUG et, postérieurement à celle-ci, un rapport de la Dre C______ du 27 septembre 2024, un rapport d’IRM du 18 novembre 2024 et deux rapports du département de chirurgie des HUG des 28 octobre et 22 novembre 2024. Au vu de la jurisprudence précitée, les rapports transmis postérieurement à la décision litigieuse ne peuvent pas être pris en compte dans le cadre de la présente procédure. S’agissant des autres rapports médicaux, qui sont postérieurs à la dernière décision de l’intimé du 21 septembre 2023, ils ne témoignent pas d’une aggravation significative de l’état de santé du recourant ( cf. notes de suite du Dr B______ des 11 novembre 2023, 17 janvier, 31 janvier, 6 mars et 17 avril 2024). Au contraire, ils attestent de la persistance des douleurs chez le recourant déclenchées à la suite de l’accident (notes de suite des 22 novembre 2023, 31 janvier et 6 mars 2024) et de traitement par infiltrations (notes de suite des 17 janvier et 17 avril 2024). Le Dr B______ confirme même une capacité de travail du recourant dans une activité adaptée aux limitations fonctionnelles, lesquelles rejoignent celles retenues par le SMR le 19 avril 2023. Dans ces conditions, l’avis du SMR du 26 juin 2024, selon lequel l’état de santé du recourant, au vu des pièces médicales fournies, n’a pas subi de modification sévère et durable depuis la dernière décision, ne peut qu’être confirmé. Cela étant, le recourant pourra, s’il estime que son état de santé s’est aggravé, ce que semble attester le rapport de la Dre C______ du 27 septembre 2024, déposer une nouvelle demande de prestations.</w:t>
      </w:r>
    </w:p>
    <w:p>
      <w:r>
        <w:rPr>
          <w:b/>
        </w:rPr>
        <w:t>E. 5</w:t>
      </w:r>
    </w:p>
    <w:p>
      <w:r>
        <w:t>Au vu de ce qui précède, le recours ne peut qu’être rejeté. Il convient de renoncer à la perception d'un émolument, le recourant étant au bénéfice de l'Hospice général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