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A/3194/2007 vom 22. November 2007</w:t>
      </w:r>
    </w:p>
    <w:p>
      <w:r>
        <w:t>GE Cour de justice, 2007-11-22, FR</w:t>
      </w:r>
    </w:p>
    <w:p>
      <w:r>
        <w:rPr>
          <w:b/>
        </w:rPr>
        <w:t xml:space="preserve">Quelle: </w:t>
      </w:r>
      <w:r>
        <w:t>https://mcp.opencaselaw.ch/entscheid/ge_gerichte_A_3194_2007</w:t>
      </w:r>
    </w:p>
    <w:p>
      <w:r>
        <w:t>FR: GE_GERICHTE A/3194/2007 du 22 novembre 2007</w:t>
      </w:r>
    </w:p>
    <w:p>
      <w:r>
        <w:t>IT: GE_GERICHTE A/3194/2007 del 22 novembre 2007</w:t>
      </w:r>
    </w:p>
    <w:p>
      <w:pPr>
        <w:pStyle w:val="Heading2"/>
      </w:pPr>
      <w:r>
        <w:t>Regeste</w:t>
      </w:r>
    </w:p>
    <w:p>
      <w:r>
        <w:t>For de la poursuite. | La plaignante, qui a conservé une adresse à Genève, est domiciliée en France. L'Office des poursuites est incompétent ratione loci. | LP.22.1; LP.46</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w:t>
      </w:r>
    </w:p>
    <w:p>
      <w:r>
        <w:rPr>
          <w:b/>
        </w:rPr>
        <w:t>E. 2</w:t>
      </w:r>
    </w:p>
    <w:p>
      <w:r>
        <w:t>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En d’autres termes, l’inobservation des règles sur le for sont sanctionnées différemment selon l’acte de poursuite en cause.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la poursuite pourra continuer devant l’office incompétent sur demande du créancier (Walter A. Stoffel , Voies d’exécution, § 3, n° 94 s., p. 77 et la jurisprudence citée ; cf. ég. Pierre-Robert Gilliéron , Commentaire, Remarques introductives ad art. 46-55, n° 32 ss et la jurisprudence citée ; Henri-Robert Schüpbach ,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 lesquels sont nuls (Pierre-Robert Gilliéron , Commentaire, Remarques introductives ad art. 46-55, n° 33). 3.a.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3.b. Des considérants qui précèdent, il s'ensuit que, bien que la question n’aie pas été soulevée par la plaignante, la Commission de céans doit, d’office, déterminer s’il existe un for de la poursuite à Genève et si l’Office était compétent ratione loci pour exécuter la présente saisie.</w:t>
      </w:r>
    </w:p>
    <w:p>
      <w:r>
        <w:rPr>
          <w:b/>
        </w:rPr>
        <w:t>E. 4</w:t>
      </w:r>
    </w:p>
    <w:p>
      <w:r>
        <w:t>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w:t>
      </w:r>
    </w:p>
    <w:p>
      <w:r>
        <w:rPr>
          <w:b/>
        </w:rPr>
        <w:t>E. 5</w:t>
      </w:r>
    </w:p>
    <w:p>
      <w:r>
        <w:t>Des déclarations rappelées ci-dessus, que la Commission de céans considère comme probantes, et des pièces produites, force est de retenir que la poursuivie a quitté la Suisse, au plus tard en été 2004, pour se constituer un domicile en France, à l'adresse Impasse B______ à M______. La saisie de gain exécutée le 31 juillet 2007 doit en conséquence être déclarée nulle puisqu'elle émane de l'Office qui est incompétent ratione loci . La Commission de céans constatera cette nullité et invitera l'Office à restituer à la plaignante le produit de la saisie.</w:t>
      </w:r>
    </w:p>
    <w:p>
      <w:r>
        <w:rPr>
          <w:b/>
        </w:rPr>
        <w:t>E. 6</w:t>
      </w:r>
    </w:p>
    <w:p>
      <w:r>
        <w:t>La présente décision sera envoyée à Mme L______ tant à son domicile en France qu’à son adresse à Carouge, afin de favoriser sa bonne réception. * * * * * PAR CES MOTIFS, LA COMMISSION DE SURVEILLANCE SIÉGEANT EN SECTION : A la forme : Déclare recevable la plainte formée le 16 août 2007 par Mme L______ contre la saisie de gain exécutée à son encontre dans le cadre des poursuites formant la série n° 06 224012 U. Au fond : 1. Constate qu'il n'y a pas de for de la poursuite dans le canton de Genève à l'encontre de Mme L______. 2. Constate la nullité de la saisie de gain exécutée le 31 juillet 2007 dans le cadre des poursuites formant la série n° 06 xxxx12 U. 3. Invite l'Office des poursuites à restituer à Mme L______ le produit de la saisie. 4. Déboute les parties de toutes autres conclusions. Siégeant : Mme Ariane WEYENETH, présidente ; MM. Didier BROSSET et Olivier WEHRLI,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