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A/3193/2018 vom 17. Oktober 2019</w:t>
      </w:r>
    </w:p>
    <w:p>
      <w:r>
        <w:t>GE Cour de justice, 2019-10-17, FR</w:t>
      </w:r>
    </w:p>
    <w:p>
      <w:r>
        <w:rPr>
          <w:b/>
        </w:rPr>
        <w:t xml:space="preserve">Quelle: </w:t>
      </w:r>
      <w:r>
        <w:t>https://mcp.opencaselaw.ch/entscheid/ge_gerichte_A_3193_2018</w:t>
      </w:r>
    </w:p>
    <w:p>
      <w:r>
        <w:t>FR: GE_GERICHTE A/3193/2018 du 17 octobre 2019</w:t>
      </w:r>
    </w:p>
    <w:p>
      <w:r>
        <w:t>IT: GE_GERICHTE A/3193/2018 del 17 ottobre 2019</w:t>
      </w:r>
    </w:p>
    <w:p>
      <w:pPr>
        <w:pStyle w:val="Heading2"/>
      </w:pPr>
      <w:r>
        <w:t>Erwägungen</w:t>
      </w:r>
    </w:p>
    <w:p>
      <w:r>
        <w:rPr>
          <w:b/>
        </w:rPr>
        <w:t>E. 4</w:t>
      </w:r>
    </w:p>
    <w:p>
      <w:r>
        <w:t>septembre au 31 octobre 2018 ; -          un décompte de l'Hospice général attestant des prestations reçues en septembre 2018 (CHF 2'469.60) ; -          un rapport du 10 septembre 2018 du Dr J_______ suite à une échographie des épaules du 10 septembre 2018 ; du côté droit, est relevée une arthrose acromio-claviculaire ; du côté gauche, est constatée une déchirure totale du tendon supra-épineux ainsi que de la partie antéro-supérieure du tendon infra-épineux et du tendon sub-scapulaire ; la dernière déchirure est associée à une instabilité avec une subluxation du tendon long chef du biceps, qui est continu ; ont en outre été observées à gauche une très discrète bursite sous-acromiale réactionnelle, une infiltration graisseuse et une hypotrophie des muscles infra et supra-épineux. 23.    Invité à se déterminer, l'intimé, dans sa réponse du 20 novembre 2018, a conclu au rejet du recours. L'intimé argue que, même si la motivation de la décision n'est pas très développée, elle est amplement suffisante puisqu'elle permet de comprendre la raison du refus de rente. Il ajoute qu'un abattement supérieur à 15% ne se justifie pas au regard de l'attestation du Dr H_______ du 16 juin 2018. Le droit aux mesures de réadaptation n'est pas ouvert puisque le degré d'invalidité n'atteint pas 20%. Pour le surplus, aucun médecin n'a indiqué que l'état de l'assurée ne serait pas stabilisé. Enfin, l'intimé soutient que si les atteintes à la santé limitent certains travaux de force au niveau des épaules, il est inexact de prétendre que la recourante ne peut plus utiliser ses bras. 24.    En date du 14 janvier 2019, la recourante a intégralement persisté dans ses conclusions. Elle argue que l'arrêt de travail ininterrompu octroyé par le Dr I_______ atteste bien de l'instabilité de son état de santé, corroborée par la détérioration de l'état de son épaule gauche, qui a nécessité une opération. La recourante produit une lettre de sortie du 28 novembre 2018 des HUG suite à une arthroscopie de l'épaule gauche le 20 novembre 2018. Y sont mentionnés les diagnostics de rupture transfixiante des sus- et infra-épineux antérieur, du long chef du biceps hypertrophique, de rupture haute du sub-scapulaire, de conflit supéro-externe et d'arthropathie acromio-claviculaire de l'épaule gauche. Dans un courriel du 10 janvier 2019, le Dr H_______ conteste la position du SMR et allègue que la situation de sa patiente n'est pas stabilisée. Le médecin-traitant mentionne une « redoutable combinaison de pathologies orthopédiques et rhumatismales chez une patiente fruste travaillant manuellement ». Selon lui, l'atteinte à l'épaule gauche était prévisible en raison d'une stratégie d'épargne du côté droit. Il s'agit à nouveau d'une rupture tendineuse complexe, associée à une arthropathie, et non d'une simple tendinite de surcharge passagère. La capacité de travail de sa patiente est nulle et ce, pour une période indéterminée. 25.    Le 14 février 2019, l'intimé a persisté à son tour dans ses conclusions. Il se réfère à l'avis émis le 7 février 2019 par la doctoresse P_______, spécialiste FMH en médecine interne générale et médecin auprès du SMR, aux termes duquel les conclusions antérieures du SMR demeurent valables jusqu'à l'intervention du 20 novembre 2018 au niveau de l'épaule gauche, postérieure à la décision du 14 août 2018.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56ss LPGA et 62ss LPA). 4.        Le litige porte sur le droit de la recourante à des prestations de l'assurance-invalidité. 5.        Dans un moyen de nature formelle qu'il convient d'examiner en premier, la recourante invoque une violation de son droit d'être entendue aux motifs, d'une part, que la décision litigieuse serait insuffisamment motivée s'agissant du calcul du degré d'invalidité, d'autre part, que l'intimé n'aurait pas pris en compte le rapport du Dr O_______ relatif aux atteintes de son membre supérieur gauche. 6.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 ATA/126/2013 du 26 février 2013). 7.        a. En l'occurrence, s'agissant de la motivation de la décision entreprise, la Cour de céans constate que cette dernière ne comporte effectivement aucune information quant à la détermination du revenu d'invalide. Cela étant, la recourante a obtenu copie de son dossier administratif complet et a pris connaissance du document intitulé « détermination du degré d'invalidité », lequel mentionne tous les éléments retenus pour fixer le salaire avec invalidité, en particulier la référence à l'ESS, à l'année et au tableau pris en considération, le salaire mensuel ainsi défini, son annualisation et son indexation, ainsi que le taux d'abattement. La recourante a d'ailleurs manifestement saisi tous les éléments pertinents, comme en atteste son écriture de recours, et elle a eu la possibilité de présenter librement ses objections - concernant en particulier la méthode d'évaluation de l'invalidité et le calcul opéré par l'intimé - devant la Cour de céans, laquelle dispose d'un pouvoir d'examen identique à celui de l'intimé. En conclusion, la violation du droit d'être entendu dont se prévaut la recourante peut être considérée comme réparée dans le cadre de l'examen du recours. b. S'agissant de la prise en considération du rapport du Dr J_______ du 10 septembre 2018, les reproches de la recourante sont manifestement mal fondés dès lors que ce document est postérieur à la décision litigieuse, rendue le 14 août 2018. À toutes fins utiles, la Cour de céans relèvera encore que la recourante, invitée à prendre position sur le préavis du 29 mai 2018, n'a pas évoqué d'atteinte au niveau de l'épaule gauche et n'a pas informé l'intimé que des examens étaient en cours ou prévus. c. Dans ces conditions, aucun vice formel ne justifie l'annulation de la décision litigieuse. 8.        Il convient à présent d'examiner le droit de la recourante à une rente d'invalidité. 9.        a. Lorsqu'une rente a déjà été refusée une première fois par une décision entrée en force, notamment parce que le degré d'invalidité était insuffisant, la nouvelle demande doit être examinée sous l'angle de l'art. 17 LPGA, qui régit la révision de la rente d'invalidité. L'art. 17 al. 1 LPGA dispose que si le taux d'invalidité du bénéficiaire de la rente subit une modification notable, la rente est, d'office ou sur demande, révisée pour l'avenir, à savoir augmentée ou réduite en conséquence, ou encore supprimée.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10.    a.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28 al. 2 LAI, l'assuré a droit à une rente entière s'il est invalide à 70% au moins, à un trois-quarts de rente s'il est invalide à 60% au moins, à une demi-rente s'il est invalide à 50% au moins, ou à un quart de rente s'il est invalide à 40% au moins. 12.    a. Conformément aux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9C_42/2017 du 29 juin 2017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13.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Cst (SVR 2001 IV n. 10 p. 28 consid. 4b), la jurisprudence rendue sous l'empire de l'art. 4 aCst. étant toujours valable (ATF 124 V 90 consid. 4b ; ATF 122 V 157 consid. 1d). 17.    En l'espèce, l'intimé a rejeté une première demande de prestations par décision du 20 mars 2006. Il a alors considéré, en se fondant sur les avis du SMR, conformes aux conclusions de la SUVA, que l'assurée disposait encore d'une pleine capacité de travail dans une activité ne l'exposant pas aux huiles minérales et au latex. Entre 2008 et 2010, la recourante a travaillé en tant qu'animatrice à 80% dans un EMS, puis, dès 2011, en tant que couturière et ce, jusqu'à son accident du 31 décembre 2016. En incapacité totale de travail depuis lors, elle a déposé une seconde demande de prestations le 2 novembre 2017, motivée par des atteintes au niveau du membre supérieur droit. L'intimé a estimé que l'aggravation de l'état de santé de la recourante paraissait plausible puisqu'il est entré en matière. Il convient donc de traiter l'affaire au fond et de vérifier si la modification du degré d'invalidité est réellement intervenue. 18.    Dans sa décision du 14 août 2018, l'intimé a retenu que la capacité de travail de recourante était nulle dans l'activité habituelle de couturière, mais entière dans une activité adaptée. Il s'est fondé sur les avis du SMR, en particulier sur les appréciations des Dresses N_______ et M_______. La recourante soutient qu'elle présente plusieurs affections, lesquelles entraînent une totale incapacité de travail. Elle affirme qu'elle ne peut utiliser ses deux bras et ses deux épaules, de sorte que l'exercice de travaux manuels n'est pas possible. Elle considère également que sa main droite est inutilisable puisque qu'elle se déclare « monomanuelle ». Elle indique en outre ne pouvoir se déplacer normalement et ne plus pouvoir exercer de métier nécessitant de se lever. Enfin, elle rappelle qu'elle souffre de différentes allergies. 19.    a. En ce qui concerne le membre supérieur gauche, la Cour de céans rappelle qu'il lui incombe d'apprécier la légalité de la décision du 14 août 2018 d'après l'état de fait existant à cette date. Or, aucune atteinte au niveau de l'épaule gauche n'a été attestée, ni même évoquée, avant le rapport du Dr J_______ du 10 septembre 2018 relatif à une échographie réalisée le même jour. Ces pathologies ne peuvent donc pas être prises en considération dans le cadre de la présente procédure, mais la recourante pourra déposer une nouvelle demande si elle considère que son état de santé s'est aggravé depuis la décision dont est recours. b. S'agissant du membre supérieur droit, il est rappelé que les examens réalisés suite à la chute du 31 décembre 2016 ont révélé, en substance, une déchirure massive de la coiffe des rotateurs touchant plusieurs tendons (cf. rapport d'IRM du 12 janvier 2017) et une arthrose acromio-claviculaire avec une ostéophytose supérieure (cf. rapport relatif à la radiographie du 17 janvier 2017), et que la recourante a été opérée en date du 8 février 2017. Le Dr I_______ a constaté, dans son rapport du 14 novembre 2017, une limitation de la mobilité, de la force et de l'endurance, et conclu que l'activité de couturière n'était plus possible. Dans son rapport du 12 avril 2018, il a signalé que la suture était solide, mais qu'il restait une synovite avec un état inflammatoire. Il a relaté la persistance des douleurs et une limitation fonctionnelle certaine, en particulier lors de la mobilisation active. Dans son rapport du 24 novembre 2017, le Dr H_______ a relevé l'existence de trois atteintes, soit une rupture massive de la coiffe des rotateurs ayant nécessité une intervention le 8 février 2017, une rhizarthrose droite et une neuropathie séquellaire bilatérale prédominante à droite. Il a estimé que ces troubles étaient tous incapacitants et empêchaient toutes les activités nécessitant une abduction de l'épaule droite au-delà du 90°, particulièrement si elle était répétitive et nécessitait force ou endurance significative, ainsi que toutes les manoeuvres requérant la préhension de la main droite avec une force significative. La Dresse M_______ a retenu les diagnostics de rupture de la coiffe des rotateurs de l'épaule droite opérée le 8 février 2017, d'arthrose acromio-claviculaire sévère de l'épaule droite et de rhizarthrose droite. Si cette médecin a semble-t-il omis de rappeler la neuropathie séquellaire bilatérale prédominante à droite, il sied toutefois de relever qu'elle a dûment pris en considération cette atteinte puisqu'elle a admis toutes les contre-indications en lien avec le membre supérieur droit, mais également la main droite, énumérées par les médecins traitants, en particulier le Dr H_______, soit le travail du membre supérieur au-dessus de 90°, le port de charge lourde et les activités manuelles nécessitant une préhension en force. En outre, la chambre de céans observe que la Dresse M_______ a tenu compte de l'arthrose acromio-claviculaire révélée par la radiographie de janvier 2017, même si cette atteinte n'a pas été mentionnée par le Dr H_______. Il appert donc que les diagnostics et restrictions retenus par le SMR sont conformes aux documents médicaux alors en sa possession. c. S'agissant des allergies, la Cour de céans rappelle que l'intimé, dans le cadre de la première demande de prestations, a conclu que l'intéressée devait éviter d'être exposée aux huiles minérales et au latex. Suite à la décision de refus de rente de mars 2006, la recourante a travaillé comme animatrice dans un EMS durant plus de deux ans, puis en qualité de couturière pendant cinq ans, sans que ses allergies reconnues aux produits précités n'engendrent d'incapacité de travail. Par ailleurs, la recourante ne prétend pas que de nouvelles allergies auraient été découvertes, ni même qu'elle serait incommodée par d'autres substances. Aucune aggravation de l'état de santé de la recourante ne saurait donc être reconnue en ce qui concerne les allergies. d. Enfin, la recourante soutient qu'elle ne peut ni se déplacer normalement, ni exercer un métier nécessitant de se lever. La seule pièce du dossier relative à l'existence d'une atteinte à la santé au niveau des membres inférieurs est le rapport des HUG de 1997 mentionnant des varices bilatérales. Il n'a toutefois pas été retenu, au moment de la décision de 2006, que ces troubles auraient des répercussions sur la capacité de travail de la recourante ou la limiteraient d'une quelconque façon. En l'absence de tout nouveau document, l'existence de troubles au niveau des membres inférieurs n'est pas établie. e. Il appert donc que la décision de l'intimé du 14 août 2018 tient dûment compte de l'aggravation de l'état de santé de la recourante postérieure à la décision du 20 mars 2006, puisque les atteintes dont elle souffre au niveau du membre supérieur droit et les limitations fonctionnelles qui en découlent ont été admises conformément aux indications des médecins traitants. 20.    a. En ce qui concerne la capacité de travail, le Dr H_______ a indiqué, dans son rapport du 24 novembre 2017, qu'une reprise de l'activité habituelle semblait illusoire. Il n'a toutefois pas pris position sur l'aptitude de sa patiente à exercer un métier respectant les limitations fonctionnelles qu'il a énumérées et qui concernent exclusivement le membre supérieur droit. Le Dr I_______ a conclu, dans son rapport du 12 avril 2018, à une capacité de travail nulle. La Cour de céans observe cependant que ce médecin ne s'est pas non plus clairement déterminé sur la capacité de travail dans une activité adaptée. De plus, ses conclusions sont dénuées de toute explication. La Dresse M_______ a conclu que la capacité de travail était nulle dans l'activité habituelle dès le 31 décembre 2016, mais entière dans une activité adaptée depuis le 24 novembre 2017. b. Suite au projet de décision du 29 mai 2018, le Dr H_______ a mentionné, dans son rapport du 16 juin 2018, une totale incapacité de travail, sans livrer la moindre justification à cet égard. En l'absence de toute argumentation permettant de comprendre pour quelle raison la recourante serait incapable de déployer une activité adaptée aux restrictions bien définies et qui concernent exclusivement l'abduction de l'épaule droite au-delà du 90° et la préhension de la main droite avec une force significative, les conclusions du médecin traitant ne sont pas convaincantes. c. L'appréciation du SMR quant à la capacité de travail de la recourante dans une activité adaptée emporte donc la conviction de la Cour de céans. 21.    a. La recourante fait ensuite valoir que la décision litigieuse serait prématurée. Elle indique qu'elle était encore en période d'examens médicaux, qu'elle avait subi une opération quelques mois auparavant, en février « 2018 », et une infiltration en juin « 2018 ». Elle est d'avis que l'intimé aurait dû mettre en oeuvre une expertise. b. Il ressort toutefois des pièces produites que l'intervention du Dr I_______ sur l'épaule droite a été réalisée en février 2017, et non 2018, et que des infiltrations ont été effectuées en juin et octobre 2017, aucune en 2018. De plus, les rapports des Drs I_______ et H_______ du 14, respectivement du 24 novembre 2017, ne mentionnent pas que des investigations étaient en cours ou que d'autres examens étaient envisagés. Ces médecins se sont clairement et sans réserve prononcés sur la capacité de travail et sur les limitations fonctionnelles de l'intéressée. D'ailleurs, dans son opposition du 27 juin 2018, la recourante n'a pas évoqué d'autres pathologies que celles mentionnées dans les rapports précités, ni de restrictions supplémentaires. Le rapport du Dr H_______ du 16 juin 2018 qu'elle a alors produit mentionne les mêmes atteintes que celles figurant dans son rapport précédent. c. Il appert donc que l'avis du SMR du 8 août 2018, sur lequel s'est basé l'intimé pour rendre la décision litigieuse, était suffisant et que l'intimé n'avait aucun motif de diligenter une expertise médicale. 22.    a. La recourante conteste le calcul du degré d'invalidité, plus particulièrement l'utilisation de la méthode du salaire statistique en raison de son âge et de ses atteintes à la santé. Elle critique également la référence au tableau TA1 au motif qu'elle ne pourrait plus exercer de travaux manuels en raison de son accident. Elle conteste l'abattement de 15% retenu par l'intimé et demande qu'il soit fixé à 25%. Enfin, elle prétend qu'il est illusoire qu'elle puisse retrouver un travail. b. La méthode utilisée par l'intimé est conforme aux dispositions applicables et à la jurisprudence fédérale. Il est en effet rappelé que la recourante n'a pas mis en valeur sa capacité de travail résiduelle, contrairement à ce qui était raisonnablement exigible de sa part, de sorte que le revenu d'invalide peut être évalué sur la base du tableau TA1 de l'ESS. Ce dernier est suffisamment représentatif de ce qu'elle serait en mesure de réaliser en tant qu'invalide, dès lors qu'il recouvre un large éventail d'activités variées et non qualifiées, n'impliquant pas de formation particulière, et compatibles avec les limitations fonctionnelles de la recourante, lesquelles sont bien définies et concernent exclusivement certains mouvements du membre supérieur droit et de la main droite. Enfin, l'âge de la recourante ne justifie pas de s'écarter de la méthode d'évaluation retenue. S'agissant du revenu avec invalidité, déterminé selon le tableau TA1_tirage_skill_level niveau 1 pour une femme, la Cour de céans rappelle, d'une part, que la recourante ne saurait être considérée comme une personne privée de l'usage de son bras ou de sa main droite, les restrictions énumérées par son médecin traitant ne concernant que les activités nécessitant une abduction de l'épaule droite au-delà du 90°, particulièrement si elle est répétitive et nécessite force ou endurance significative, ainsi que la préhension de la main droite avec une force significative. D'autre part, même si l'on admettait une incapacité à se servir du membre supérieur dominant, la référence au TA1 susmentionné aurait été confirmée, puisque le Tribunal fédéral l'a admise dans la situation d'un assuré ne pouvant exercer que des tâches monomanuelles (cf. arrêt du Tribunal fédéral 8C_849/2017 du 5 juin 2018). Notre Haute cour a en outre confirmé qu'il y avait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s'impose pas au secteur des services (arrêt du Tribunal 8C_100/2012 du 29 mars 2012 consid. 3.4 et les références). Ainsi, la référence au tableau TA1_skill_level, niveau de compétence 1, ne prête pas le flanc à la critique. Concernant la réduction supplémentaire à appliquer au revenu d'invalide, la Cour de céans rappelle que sa fixation relève en premier lieu du pouvoir d'appréciation de l'intimé. En l'occurrence, rien ne justifie de s'écarter du taux de 15%. En effet, la recourante, née en 1963, vit à Genève depuis près de 40 ans et est titulaire d'un livret C. En outre, elle ne présente pas d'importantes restrictions et sa capacité de travail demeure entière dans une activité adaptée. La recourante était âgée de 54 ans au moment où il a été constaté qu'elle conservait une pleine capacité de travail dans une activité adaptée. Elle était donc encore loin de l'âge légal de la retraite. De plus, elle dispose manifestement de bonnes capacités d'adaptation, comme en atteste le fait qu'elle a été en mesure de changer d'activité suite à la découverte de ses allergies et qu'elle a ainsi travaillé comme animatrice dans un EMS, puis comme couturière. Enfin, les atteintes à la santé dont elle souffre ne rendent pas irréalistes ses possibilités de retrouver un emploi. c. Les griefs de la recourante étant tous mal fondés, le degré d'invalidité retenu par l'intimé (0% en l'absence de toute perte de gain) peut dès lors être confirmé. 23.    Reste à se prononcer sur le droit à une éventuelle mesure d'ordre professionnel. 24.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b. En l'occurrence, il est rappelé que le Tribunal fédéral considère qu'un marché équilibré du travail offre un nombre significatif d'activités qui sont compatibles avec les restrictions présentées par la recourante et qui sont accessibles sans aucune formation particulière. On peut à cet égard citer par exemple des tâches simples de surveillance, d'accueil, de réception, de vérification ou de contrôle, pour lesquelles une simple mise au courant suffit. Compte tenu de l'absence de toute perte de gain et de la capacité de travail entière dans une activité adaptée, une mesure d'ordre professionnel ne se justifie pas. 25.    Au vu de ce qui précède, le recours, mal fondé, doit être rejeté. La recourante plaidant au bénéfice de l'assistance juridique, il est renoncé à percevoir l'émolument de justice prévu à l'art. 69 al. 1 bis LAI (art.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