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A/3188/2022 vom 25. April 2024</w:t>
      </w:r>
    </w:p>
    <w:p>
      <w:r>
        <w:t>GE Cour de justice, 2024-04-25, FR</w:t>
      </w:r>
    </w:p>
    <w:p>
      <w:r>
        <w:rPr>
          <w:b/>
        </w:rPr>
        <w:t xml:space="preserve">Quelle: </w:t>
      </w:r>
      <w:r>
        <w:t>https://mcp.opencaselaw.ch/entscheid/ge_gerichte_A_3188_2022</w:t>
      </w:r>
    </w:p>
    <w:p>
      <w:r>
        <w:t>FR: GE_GERICHTE A/3188/2022 du 25 avril 2024</w:t>
      </w:r>
    </w:p>
    <w:p>
      <w:r>
        <w:t>IT: GE_GERICHTE A/3188/2022 del 25 aprile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interjeté dans les forme et délai prévus par la loi (art. 56ss LPGA), est recevable.</w:t>
      </w:r>
    </w:p>
    <w:p>
      <w:r>
        <w:rPr>
          <w:b/>
        </w:rPr>
        <w:t>E. 4</w:t>
      </w:r>
    </w:p>
    <w:p>
      <w:r>
        <w:t>Le litige porte sur le droit du recourant à des prestations pour accident au-delà du 30 septembre 2021, en particulier sur le point de savoir si son état de santé était stabilisé à cette date. En matière d’assurance-accidents, la fin des prestations temporaires - soit les indemnités journalières et le droit au traitement - est si étroitement liée aux questions de la rente et de l'indemnité pour atteinte à l'intégrité qu'on peut considérer que ces prestations forment un seul objet du litige (arrêt du Tribunal fédéral 8C_170/2015 du 29 septembre 2015 consid. 4.2). Dès lors que le recourant conteste la fin du droit aux indemnités journalières au 30 septembre 2021, on ne saurait admettre qu’il aurait, même implicitement, acquiescé à la négation de son droit à une indemnité pour atteinte à l'intégrité.</w:t>
      </w:r>
    </w:p>
    <w:p>
      <w:r>
        <w:rPr>
          <w:b/>
        </w:rPr>
        <w:t>E. 5</w:t>
      </w:r>
    </w:p>
    <w:p>
      <w:r>
        <w:t>Les prestations suivantes sont prévues en cas d'accident.</w:t>
      </w:r>
    </w:p>
    <w:p>
      <w:r>
        <w:rPr>
          <w:b/>
        </w:rPr>
        <w:t>E. 5.1</w:t>
      </w:r>
    </w:p>
    <w:p>
      <w:r>
        <w:t>En vertu de l'art. 10 al. 1 LAA, l'assuré a droit au traitement médical approprié des lésions résultant de l'accident.</w:t>
      </w:r>
    </w:p>
    <w:p>
      <w:r>
        <w:rPr>
          <w:b/>
        </w:rPr>
        <w:t>E. 5.2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5.3</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w:t>
      </w:r>
    </w:p>
    <w:p>
      <w:r>
        <w:rPr>
          <w:b/>
        </w:rPr>
        <w:t>E. 5.4</w:t>
      </w:r>
    </w:p>
    <w:p>
      <w:r>
        <w:t>En vertu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(arrêt du Tribunal fédéral 8C_442/2013 du 4 juillet 2014 consid. 2). Aux termes de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6.1</w:t>
      </w:r>
    </w:p>
    <w:p>
      <w:r>
        <w:t>Le droit à des prestations d'assurance suppose entre l'événement dommageable de caractère accidentel et l'atteinte à la santé, un lien de causalité naturelle mais aussi adéquate (arrêt du Tribunal fédéral 8C_628/2007 du 22 octobre 2008 consid. 5.1).</w:t>
      </w:r>
    </w:p>
    <w:p>
      <w:r>
        <w:rPr>
          <w:b/>
        </w:rPr>
        <w:t>E. 6.2</w:t>
      </w:r>
    </w:p>
    <w:p>
      <w:r>
        <w:t>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w:t>
      </w:r>
    </w:p>
    <w:p>
      <w:r>
        <w:rPr>
          <w:b/>
        </w:rPr>
        <w:t>E. 6.3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En présence d’une atteinte à la santé physique, le problème de la causalité adéquate ne se pose guère (ATF 127 V 102 consid. 5b/bb). En effet, en présence d’un trouble organique clair, l’assureur répond également des suites rares ou extraordinaires d’un accident (ATF 117 V 359 consid. 5d/bb). En revanche,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du Tribunal fédéral 8C_565/2022 du 23 mai 2023 consid. 3.2).</w:t>
      </w:r>
    </w:p>
    <w:p>
      <w:r>
        <w:rPr>
          <w:b/>
        </w:rPr>
        <w:t>E. 6.3.1</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 les accidents de gravité moyenne et les accidents graves.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(arrêt du Tribunal fédéral 8C_816/2012 du 4 septembre 2013 consid. 7.2 et les références). En cas d'accident insignifiant ou de peu de gravité, l'existence d'un lien de causalité adéquate entre l'accident et des troubles psychiques peut en règle générale être niée d'emblée (ATF 140 V 356 consid. 5.3).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et les références).</w:t>
      </w:r>
    </w:p>
    <w:p>
      <w:r>
        <w:rPr>
          <w:b/>
        </w:rPr>
        <w:t>E. 6.3.2</w:t>
      </w:r>
    </w:p>
    <w:p>
      <w:r>
        <w:t>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 Les critères d’adéquation entre un accident et des troubles psychiques sont également applicables à des syndromes douloureux non objectivables (cf. arrêt du Tribunal fédéral 8C_655/2016 du 4 août 2017 consid. 5.2).</w:t>
      </w:r>
    </w:p>
    <w:p>
      <w:r>
        <w:rPr>
          <w:b/>
        </w:rPr>
        <w:t>E. 6.4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w:t>
      </w:r>
    </w:p>
    <w:p>
      <w:r>
        <w:rPr>
          <w:b/>
        </w:rPr>
        <w:t>E. 7</w:t>
      </w:r>
    </w:p>
    <w:p>
      <w:r>
        <w:t>Le CRPS est une pathologie neurologique, orthopédique et traumatologique et relève d’un trouble organique (arrêt du Tribunal fédéral 8C_232/2012 du 27 septembre 2012 consid. 5.3.1).</w:t>
      </w:r>
    </w:p>
    <w:p>
      <w:r>
        <w:rPr>
          <w:b/>
        </w:rPr>
        <w:t>E. 7.1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 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 de la Cour des assurances sociales du canton de Vaud AA 133/18 - 14/2020 du 27 janvier 2020 consid. 5a/aa et la littérature médicale citée).</w:t>
      </w:r>
    </w:p>
    <w:p>
      <w:r>
        <w:rPr>
          <w:b/>
        </w:rPr>
        <w:t>E. 7.2</w:t>
      </w:r>
    </w:p>
    <w:p>
      <w:r>
        <w:t>Selon la pratique, il n'est pas nécessaire que le diagnostic de CRPS ait déjà été posé par les médecins dans les six à huit mois suivant l'accident pour qu'il soit considéré comme accidentel (arrêts du Tribunal fédéral 8C_714/2016 du 16 décembre 2016 consid. 4.1 et 8C_177/2016 du 22 juin 2016 consid. 4.3). Ce qui est déterminant pour admettre un lien de causalité naturelle entre l’accident et le CRPS est que des résultats médicaux recueillis en temps réel révèlent que l’assuré a présenté au moins une partie des symptômes typiques d'un CRPS durant la période de latence de six à huit semaines après l'accident (arrêts du Tribunal fédéral 8C_411/2017 du 17 juillet 2018 consid. 3.3.1, 8C_673/2017 du 27 mars 2018 consid. 5). Un CRPS peut également être admis comme étant la conséquence d’un accident lorsqu’il survient dans ce délai non pas après l’accident même, mais après une intervention chirurgicale nécessaire pour traiter les suites de cet accident (arrêt du Tribunal fédéral 8C_384/2009 du 5 janvier 2010 consid. 4.2.1).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8.4</w:t>
      </w:r>
    </w:p>
    <w:p>
      <w:r>
        <w:t>On précisera encore que l’avis du SMR a pour fonction d'opérer la synthèse des renseignements médicaux recueillis, de prendre position à leur sujet et de formuler des recommandations sur la suite à donner au dossier sur le plan médical (arrêt du Tribunal fédéral 9C_10/2017 du 27 mars 2017 consid. 5.1). Les rapports des SMR ne peuvent donc que se prononcer sur la question de savoir quelle appréciation doit être suivie (ATF 142 V 58 consid. 5.1).</w:t>
      </w:r>
    </w:p>
    <w:p>
      <w:r>
        <w:rPr>
          <w:b/>
        </w:rPr>
        <w:t>E. 9</w:t>
      </w:r>
    </w:p>
    <w:p>
      <w:r>
        <w:t>En l’espèce, il convient en premier lieu d’examiner si les expertises versées au dossier peuvent se voir reconnaître valeur probante.</w:t>
      </w:r>
    </w:p>
    <w:p>
      <w:r>
        <w:rPr>
          <w:b/>
        </w:rPr>
        <w:t>E. 9.1</w:t>
      </w:r>
    </w:p>
    <w:p>
      <w:r>
        <w:t>S’agissant du rapport du Dr F______, on note en premier lieu qu’il ne contient aucun diagnostic, ni d’ailleurs de conclusions expresses quant à la capacité de travail, bien que ce médecin paraisse implicitement l’exclure à la date de son examen en raison de la non stabilisation de l’état de santé. Ce rapport ne satisfait ainsi pas aux exigences dégagées par la jurisprudence. Par ailleurs, on s’étonne que ce médecin ne se soit pas prononcé sur l’algoneurodystrophie, tout en concluant à une amplification des symptômes, en référence notamment à une crise algique lors de son examen, dont il a décrit les manifestations. Or, celles-ci correspondent aux plaintes du recourant, et le Dr F______ a constaté des sudations dans ce cadre. Il paraît difficilement concevable qu’un tel phénomène physiologique puisse être volontairement induit par le recourant, si bien que la notion d’amplification des symptômes peine à convaincre. Partant, le rapport du Dr F______ n’est guère probant.</w:t>
      </w:r>
    </w:p>
    <w:p>
      <w:r>
        <w:rPr>
          <w:b/>
        </w:rPr>
        <w:t>E. 9.2</w:t>
      </w:r>
    </w:p>
    <w:p>
      <w:r>
        <w:t>En ce qui concerne l’examen du Dr H______, on relève en premier lieu que celui-ci indique que le recourant aurait mimé un trouble de l’équilibre. Le fait qu’il retienne une simulation, sans aucune explication sur les éléments lui permettant d’exclure la réalité d’un tel trouble, suscite certains doutes quant à l’impartialité de ce médecin. Sur le fond, ce rhumatologue retient une algoneurodystrophie. Il expose cependant que cette atteinte serait au décours, sans expliquer ce qui fonde cette appréciation, et alors même qu’il rapporte une discoloration et un œdème du membre inférieur gauche. Cette pathologie n’avait ainsi pas disparu, à tout le moins pas entièrement, lors de cet examen. Quant à la portée du fait que le recourant ne prend pas de traitement, on ne saurait y voir un facteur d’exclusion de la gravité de l’atteinte, la Dresse I______ ayant exposé que cette situation était due aux effets secondaires mal tolérés de la médication. Par ailleurs, le rapport du Dr H______ ne convainc pas en tant qu’il évoque des ressources importantes – ce point n’étant d’ailleurs pas nécessairement déterminant dans le cas d’une atteinte organique comme l’algoneurodystrophie. Au vu du descriptif des journées du recourant, qui indique passer l’essentiel de son temps assis avec sa tablette et la télévision en arrière-fond, sans vraiment y prêter attention, et qui doit déléguer toutes les tâches ménagères à ses parents ou à sa femme de ménage, on ne peut sérieusement se rallier à cette appréciation. Eu égard à l’absence quasiment totale d’activités sociales, hormis les repas occasionnels chez ses parents, on s’étonne également de lire que le recourant bénéfice d’une bonne intégration sociale. On peut en outre voir une certaine contradiction dans l’incapacité de travail partielle admise en raison des douleurs liées à l’algoneurodystrophie persistant à la date de l’examen et l’importante exagération des douleurs mentionnée. S’agissant du pronostic émis par le rhumatologue, on comprend par ailleurs mal en quoi la démonstrativité et l’exagération des symptômes – qui ne relèvent pas de facteurs médicaux à prendre en compte dans l’appréciation médico-théorique de la capacité de travail – pourraient avoir une influence sur la persistance de douleurs liées à une pathologie objectivée. Au vu de ces éléments, le rapport du Dr H______ ne suffit pas non plus à trancher la capacité de travail du recourant.</w:t>
      </w:r>
    </w:p>
    <w:p>
      <w:r>
        <w:rPr>
          <w:b/>
        </w:rPr>
        <w:t>E. 9.3</w:t>
      </w:r>
    </w:p>
    <w:p>
      <w:r>
        <w:t>En ce qui concerne l’expertise du CEMed, la Cour de céans peut renoncer à trancher les griefs de nature formelle que le recourant soulève au sujet de la désignation des experts, au vu de ce qui suit. Il convient de relever qu’il est avéré que les médecins qui l’ont établie n’ont pas eu accès à l’intégralité du dossier médical du recourant. Il n’est certes pas toujours indispensable qu’un expert dispose de tous les rapports médicaux concernant un expertisé, et on ne saurait pas non plus exiger qu’il commente chaque élément médical. Cependant, la connaissance des pièces importantes du dossier médical est une des exigences dégagées par la jurisprudence pour conférer valeur probante à un rapport médical. Elle est a fortiori incontournable lorsque, comme en l’espèce, les experts émettent des conclusions sur la capacité de travail sur une période remontant à plus de deux ans avant qu’ils n’aient ausculté le recourant, et alors même qu’aucun des médecins traitants n’a mentionné une évolution favorable depuis 2019. Ce seul élément est de nature à susciter de très sérieux doutes sur la valeur probante de cette expertise. Sur le fond, en ce qui concerne les diagnostics, le Dr J______ retient notamment un status après « probable algoneurodystrophie ». On comprend mal pourquoi il semble mettre en doute ce diagnostic, alors qu’il a été posé par plusieurs autres médecins et étayé par l’imagerie. En effet, tant les spécialistes de la CRR que le Prof. C______, le Dr G______ et la Dresse D______ ont retenu cette pathologie. Il convient en outre de souligner que son co-expert, le Dr K______, évoque lui sans réserve ce diagnostic, dont il constate des séquelles persistantes. Le rapport du CEMed est sur ce point intrinsèquement contradictoire, alors même que l’expertise tridisciplinaire visait une appréciation consensuelle du cas. On observe en outre que les critères de Budapest ne sont pas formellement analysés dans cette expertise. A ce sujet, le Dr J______ soutient qu’il n’y aurait pas de signes évidents d’algodystrophie, tout en constatant une hypoesthésie, une acrocyanose et une amyotrophie – que le Dr H______ semblait d’ailleurs considérer comme un critère de gravité de la pathologie. Dans ces circonstances, on ne voit pas ce qui lui permet d’écarter ce diagnostic, même si ses manifestations se sont peut-être atténuées. Ainsi, le Dr J______ ne peut être suivi en tant qu’il conclut à l’absence de cause somatique aux troubles, malgré les éléments diagnostiques objectifs en faveur d’une algoneurodystrophie. Le fait que le traitement n’ait pas eu d’effet ne suffit pas non plus à exclure une origine somatique des troubles, les experts ne soutenant pas qu’un traitement conduit dans les règles de l’art permettrait de guérir une algoneurodystrophie. De plus, on rappellera que dans le cas d’espèce, l’évolution de cette atteinte avait été qualifiée de lente par les médecins de la CRR. En ce qui concerne les incohérences plusieurs fois mentionnées, les experts n’exposent guère en quoi elles consisteraient, hormis la différence entre leur appréciation des troubles et celle du recourant. Enfin, comme on l’a vu, ils concluent à une capacité de travail entière dès le 4 octobre 2019, sans aucunement indiquer ce qui leur permet de retenir cette date. Certes, le Dr F______ avait pronostiqué une stabilisation deux ans après l’apparition de l’atteinte dans son rapport de mars 2019. Cela étant, en matière d’assurance-accidents,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On peut appliquer ce principe par analogie en assurance-invalidité, et on ne saurait considérer une atteinte comme guérie par simple référence à sa durée usuelle de décours. En l’espèce, de tels éléments font défaut, les différents symptômes constatés suggérant au contraire que l’algoneurodystrophie n’a pas disparu. Les médecins du CEMed ne pouvaient ainsi se contenter de fixer l’exigibilité d’une reprise professionnelle uniquement en fonction du pronostic du Dr F______. Ce pronostic a du reste été infirmé par le Dr H______, qui admettait une incapacité de travail à tout le moins partielle lors de son examen en mai 2021, soit plus d’une année et demie plus tard. On notera d’ailleurs qu’au vu des traitements tentés par le Dr G______ au début de l’année 2021, il n’y avait pas de stabilisation de l’état de santé selon la définition en matière d’assurance-accidents. Enfin, et surtout, dans la mesure où les experts du CEMed s’écartent des conclusions des autres médecins, en particulier celles du Dr H______, qui sont elles fondées sur des observations médicales opérées en temps réel, ils ne pouvaient s’épargner de discuter de manière circonstanciée les motifs expliquant leurs divergences d’appréciation. Or, ils ne se prononcent absolument pas sur les autres rapports médicaux et sur les raisons pour lesquelles ils s’en écartent. Leur rapport n’est ainsi pas motivé à satisfaction de droit. Au vu de tous ces éléments, on ne saurait reconnaître de valeur probante à cette expertise. On précisera encore que dès lors que l’algoneurodystrophie est un trouble de nature organique, il est inutile à ce stade de déterminer si les troubles du recourant sont en lien de causalité adéquate avec l’accident. Par ailleurs, les indicateurs développés par la jurisprudence pour apprécier l’incidence de troubles psychiques et de troubles sans étiologie somatique claire ne s’appliquent pas au vu de l’atteinte somatique, si bien qu’il est inutile à ce stade de se pencher de manière détaillée sur le volet psychiatrique de cette expertise. Au demeurant, le recourant n’est plus suivi par un psychiatre depuis novembre 2019, et les médecins traitants qu’il a consultés par la suite n’ont pas rapporté de trouble de la sphère psychique après cette date.</w:t>
      </w:r>
    </w:p>
    <w:p>
      <w:r>
        <w:rPr>
          <w:b/>
        </w:rPr>
        <w:t>E. 9.4</w:t>
      </w:r>
    </w:p>
    <w:p>
      <w:r>
        <w:t>Le SMR s’est quant à lui écarté des conclusions du CEMed, ce qui tend à suggérer qu’il ne les considérait pas probantes. Comme le souligne à juste titre le recourant, au vu des prérogatives de ce service, il paraît douteux que celui-ci modifie de manière autonome les conclusions des experts. De plus, comme on l’a vu, des séquelles du CRPS persistaient lors de l’examen de décembre 2021, si bien qu’on ne peut suivre le SMR lorsqu’il affirme que cette atteinte avait disparu à cette date.</w:t>
      </w:r>
    </w:p>
    <w:p>
      <w:r>
        <w:rPr>
          <w:b/>
        </w:rPr>
        <w:t>E. 10</w:t>
      </w:r>
    </w:p>
    <w:p>
      <w:r>
        <w:t>Au vu des éléments qui précèdent, il n’existe pas d’avis médical probant permettant de trancher le droit aux prestations.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des différents rapports établis, notamment celles formelles de l’expertise du CEMed, à qui l’intimée n’a pas transmis l’intégralité du dossier du recourant, un renvoi à l’intimée se justifie pour mise en œuvre d’une nouvelle expertise. Celle-ci devra être confiée à un neurologue ou à un rhumatologue disposant de connaissances reconnues en matière de CRPS. L’intimée devra ensuite rendre une nouvelle décision sur le droit aux prestations au-delà du 30 septembre 2021. Compte tenu de la procédure A/3540/2022 opposant l’OAI au recourant devant la Cour de céans, qui se conclut également par le renvoi de la cause à cet office, pour des motifs identiques à ceux exposés ci-dessus, il serait judicieux que l’intimée et l’OAI se concertent et désignent le même expert, dans le respect de la procédure prévue à l’art. 44 LPGA dans sa teneur en vigueur depuis le 1 er janvier 2022.</w:t>
      </w:r>
    </w:p>
    <w:p>
      <w:r>
        <w:rPr>
          <w:b/>
        </w:rPr>
        <w:t>E. 11</w:t>
      </w:r>
    </w:p>
    <w:p>
      <w:r>
        <w:t>Le recours est partiellement admis. Le recourant a droit à des dépens, qui seront fixés à CHF 3'000.-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