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A/3186/2005 vom 31. Januar 2006</w:t>
      </w:r>
    </w:p>
    <w:p>
      <w:r>
        <w:t>GE Cour de justice, 2006-01-31, FR</w:t>
      </w:r>
    </w:p>
    <w:p>
      <w:r>
        <w:rPr>
          <w:b/>
        </w:rPr>
        <w:t xml:space="preserve">Quelle: </w:t>
      </w:r>
      <w:r>
        <w:t>https://mcp.opencaselaw.ch/entscheid/ge_gerichte_A_3186_2005</w:t>
      </w:r>
    </w:p>
    <w:p>
      <w:r>
        <w:t>FR: GE_GERICHTE A/3186/2005 du 31 janvier 2006</w:t>
      </w:r>
    </w:p>
    <w:p>
      <w:r>
        <w:t>IT: GE_GERICHTE A/3186/2005 del 31 gennaio 2006</w:t>
      </w:r>
    </w:p>
    <w:p>
      <w:pPr>
        <w:pStyle w:val="Heading2"/>
      </w:pPr>
      <w:r>
        <w:t>Regeste</w:t>
      </w:r>
    </w:p>
    <w:p>
      <w:r>
        <w:t>CONSTRUCTION ET INSTALLATION; AMÉNAGEMENT DU TERRITOIRE; PERMIS DE CONSTRUIRE; AFFECTATION; CONFORMITÉ À LA ZONE; TECHNIQUE DE TÉLÉCOMMUNICATION; TÉLÉPHONE; ESTHÉTIQUE; INCONVÉNIENT MAJEUR; DROIT D'ÊTRE ENTENDU; ARBRE; POUVOIR D'EXAMEN; DIRECTIVE(EN GÉNÉRAL); ANTENNE; DIRECTIVE(EN GÉNÉRAL) | Construction d'une antenne pour téléphonie mobile en remplacement d'un mât d'éclairage en zone sportive. Rappel de la notion de zone à bâtir, la zone sportive du droit cantonal genevois étant considérée comme zone à bâtir. Dérogation accordée en l'espèce parce qu'elle est justifiée par les circonstances et qu'il n'en résulte pas d'inconvénients graves pour le voisinage. Projet admis également sous l'angle de l'esthétique et de la protection de la végétation arborée malgré un préavis en définitive négatif du service compétent. | LAT.15; LAT.23; LAT.25; LaLAT.26; LCI.15</w:t>
      </w:r>
    </w:p>
    <w:p>
      <w:pPr>
        <w:pStyle w:val="Heading2"/>
      </w:pPr>
      <w:r>
        <w:t>Erwägungen</w:t>
      </w:r>
    </w:p>
    <w:p>
      <w:r>
        <w:rPr>
          <w:b/>
        </w:rPr>
        <w:t>E. 7</w:t>
      </w:r>
    </w:p>
    <w:p>
      <w:r>
        <w:t>Reste encore à déterminer si l'octroi de la dérogation est propre à occasionner au voisinage des inconvénients graves au sens de l'article 26 alinéa 1 LaLAT.</w:t>
      </w:r>
    </w:p>
    <w:p>
      <w:r>
        <w:rPr>
          <w:b/>
        </w:rPr>
        <w:t>E. 8</w:t>
      </w:r>
    </w:p>
    <w:p>
      <w:r>
        <w:t>Les recourants font valoir des inquiétudes quant à leur sécurité en se prévalant du fait que le mât ne respecte pas la hauteur limite du plan de zones de sécurité. Or, par pli du 17 mars 2004, l'OFAC s'est engagé à ne pas formuler d'objection et s'est limité à exiger la pose d'un balisage de nuit. De plus, le SPBR a rendu un préavis favorable en déclarant que l'installation est conforme à l'ORNI et au règlement sur la protection contre le rayonnement non ionisant des installations stationnaires. Il ressort ainsi des préavis des organismes spécialisés que s'agissant de la sécurité, aucune critique ne peut être formulée à l'encontre de l'installation de l'intimée. Le grief des recourants doit ainsi être écarté.</w:t>
      </w:r>
    </w:p>
    <w:p>
      <w:r>
        <w:rPr>
          <w:b/>
        </w:rPr>
        <w:t>E. 9</w:t>
      </w:r>
    </w:p>
    <w:p>
      <w:r>
        <w:t>Le dernier préavis délivré par le SFPNP en 2004 est négatif et indique qu'aucune construction ne doit se faire sous la couronne des arbres. a. L'article 16 du règlement sur la conservation de la végétation arborée du 27 octobre 1999 (L 4 05.04, ci-après : le règlement) stipule que le département édicte des directives en matière de sauvegarde des végétaux maintenus, de leur mise en valeur et de l'exécution correcte des mesures compensatoires. Actuellement encore, le département se fonde sur une directive de septembre 1986 sur les mesures à prendre lors de travaux à proximité des arbres. Aux termes de l'article 1 de la directive, en conditions naturelles, le périmètre d'extension des racines vitales de l'arbre atteint jusqu'à deux fois le rayon de sa couronne. En fonction de l'espèce et de l'âge, ainsi que des conditions particulières du sol, toute intervention à l'intérieur de ce périmètre peut porter atteinte à la vitalité de l'arbre. C'est donc à cette limite que devraient être mises en place les mesures de séparation entre la zone du chantier et l'espace vital de l'arbre. b. En règle générale, les instructions, les circulaires et les directives administratives - ou, en d'autres termes, les ordonnances administratives - n'ont, selon la jurisprudence et la doctrine, pas force de loi et ne constituent pas du droit fédéral au sens de l'article 49 let. a de la loi fédérale sur la procédure administrative du 20 décembre 1968 (PA-RS 172.021 ; ATF 121 II 478 consid. 2b ; ATA/839/2003 du 18 novembre 2003 et les références citées) Si les directives, circulaires ou instructions émises par l'administration ne peuvent contenir de règles de droit, elles sont susceptibles cependant d'apporter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Ces principes sont applicables mutatis mutandis en droit cantonal. En l'espèce, le Tribunal administratif relève que la construction dont il est question est un mât destiné à supporter une installation de téléphonie mobile ainsi qu'un éclairage, et qu'elle remplace une installation préexistante certes moins importante, mais sise exactement au même emplacement. A cet égard d'ailleurs, il faut préciser que le SFPNP avait rendu un préavis positif en 2002 pour la réédification d'un mât de dimensions identiques au précédant au même emplacement. Enfin, le mât litigieux ayant été déjà édifié, le SFPNP n'a pas allégué que la construction avait fait dépérir les arbres avoisinants. En conséquence, au vu des éléments qui précèdent, il se justifie de s'écarter du préavis du SFPNP.</w:t>
      </w:r>
    </w:p>
    <w:p>
      <w:r>
        <w:rPr>
          <w:b/>
        </w:rPr>
        <w:t>E. 10</w:t>
      </w:r>
    </w:p>
    <w:p>
      <w:r>
        <w:t>Le grief principal soulevé par les recourants vise l'aspect inesthétique de la construction. a. Aux termes de l'article 15 de la loi sur les constructions et les installations diverses du 14 avril 1988 (LCI - L 5 05), le département peut interdire ou n'autoriser que sous réserve de modification, toute construction qui, par ses dimensions, sa situation ou son aspect extérieur, nuirait au caractère ou à l'intérêt du quartier,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(al.2). Cette disposition légale renferme une clause d’esthétique, qui constitue une notion juridique indéterminée, laissant un certain pouvoir d’appréciation à l’administration, celle-ci n’étant limitée que par l’excès ou l’abus du pouvoir d’appréciation ( ATA/59/2004 du 20 janvier 2004 ; ATA/646/1997 du 23 octobre 1997 ; A. GRISEL, Traité de droit administratif, Neuchâtel, 1984, p. 332-333 ; B. KNAPP, Précis de droit administratif, Bâle et Francfort-sur-le-Main, 1991, p. 34-36, n° 160-169). Dans le système de la LCI, les avis ou préavis des communes, des départements et organismes intéressés n'ont qu'un caractère consultatif, sauf dispositions contraires et expresses de la loi. Lorsqu'un préavis est obligatoire, il convient de ne pas le minimiser ( ATA/253/1997 du 22 avril 1997). b. Chaque fois que l'autorité administrative suit les préavis des commissions consultatives, l'autorité de recours doit s'imposer une certaine retenue, fonction de son aptitude à trancher le litige ( ATA/129/2003 du 11 mars 2003 ; T. TANQUEREL, La pesée des intérêts vue par le juge administratif in C. 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ATA/646/1997 du 23 octobre 1997). S’agissant de la commission de recours en matière de constructions, celle-ci se compose – selon l’article 143 LCI – de deux sections de trois membres, dont le président, juge au Tribunal de première instance et de personnes ayant des compétences spéciales en matière de construction, d’urbanisme et d’hygiène publique (art. 143 al. 1 et 4 LCI). Formée pour partie de spécialistes, la commission peut ainsi exercer un contrôle plus technique que le Tribunal administratif ( ATA/609/2004 du 5 août 2004 consid. 5b). Lorsque la commission de recours s'écarte des préavis, le Tribunal administratif peut revoir librement l'interprétation des notions juridiques indéterminées et contrôler sous l'angle de l'excès et de l'abus de pouvoir, l'exercice de la liberté d'appréciation ( ATA/609/2004 du 5 août 2004 ; ATA/177/1998 du 31 mars 1998 ; ATA/255/1996 du 7 mai 1996 et ATA F. du 21 mars 1990). En l'espèce, la CCRMC ayant omis d'examiner la question de l'esthétique, le tribunal de céans reprendra toute la problématique. Le préavis de la commission d'architecture s'est révélé sans observation suite à l'étude du dossier photographique ainsi que des photomontages proposant la végétalisation des installations au sol. La commune a rendu un préavis négatif mais celui-ci ne répond pas à des préoccupations d'ordre esthétique concernant l'installation en cause mais bien plutôt à la crainte d'avoir une concentration d'antennes de téléphonie mobile sur le territoire de la commune. Il n'entre donc pas en ligne de compte ici. Reste le préavis négatif du SFPNP. Celui-ci vise plutôt la sauvegarde de la rangée de chênes séculaires bordant la parcelle en cause que l'aspect purement esthétique de l'installation. A cet égard le tribunal de céans relève que précisément la haie de chênes permet de dissimuler en partie, à tout le moins, la construction litigieuse. Certes, le mât dépasse la cime des arbres de 10 m environ, mais cet inconvénient apparaît comme un moindre mal, comparé à la perspective d'avoir une vision complète du mât. En conséquence le département n'a pas commis d'abus ou d'excès dans son pouvoir d'appréciation. Cet argument doit donc également être rejeté.</w:t>
      </w:r>
    </w:p>
    <w:p>
      <w:r>
        <w:rPr>
          <w:b/>
        </w:rPr>
        <w:t>E. 11</w:t>
      </w:r>
    </w:p>
    <w:p>
      <w:r>
        <w:t>Le recours est rejeté. Un émolument de CHF 2'000.- sera mis à la charge des recourants conjointement et solidairement (art. 87 LPA). Il ne sera pas alloué d'indemnité de procédure à Orange, celle-ci n'ayant pas été représentée par avocat.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