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A/3185/2017 vom 29. November 2018</w:t>
      </w:r>
    </w:p>
    <w:p>
      <w:r>
        <w:t>GE Cour de justice, 2018-11-29, FR</w:t>
      </w:r>
    </w:p>
    <w:p>
      <w:r>
        <w:rPr>
          <w:b/>
        </w:rPr>
        <w:t xml:space="preserve">Quelle: </w:t>
      </w:r>
      <w:r>
        <w:t>https://mcp.opencaselaw.ch/entscheid/ge_gerichte_A_3185_2017</w:t>
      </w:r>
    </w:p>
    <w:p>
      <w:r>
        <w:t>FR: GE_GERICHTE A/3185/2017 du 29 novembre 2018</w:t>
      </w:r>
    </w:p>
    <w:p>
      <w:r>
        <w:t>IT: GE_GERICHTE A/3185/2017 del 29 novembre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29.11.2018 A/3185/2017</w:t>
      </w:r>
    </w:p>
    <w:p>
      <w:r>
        <w:t>A/3185/2017 ATAS/1110/2018 du 29.11.2018 ( AF ) , RETIRE rÉpublique et canton de genÈve POUVOIR JUDICIAIRE A/3185/2017 ATAS/1110/2018 COUR DE JUSTICE Chambre des assurances sociales Arrêt du 29 novembre 2018 3 ème Chambre En la cause Madame A______, domiciliée à WIL, comparant avec élection de domicile en l'étude de Maître Eric MUSTER recourante contre SERVICE CANTONAL D'ALLOCATIONS FAMILIALES, sis rue des Gare 12, GENÈVE intimé Vu les deux décisions rendues le 6 mai 2014 par le Service cantonal d'allocations familiales (ci-après : SCAF) invitant Madame A______ (ci-après : l'intéressée) à restituer les sommes de CHF 38'000.-, respectivement CHF 4'200.-, pour des prestations versées à tort de mars 2010 à mai 2013, respectivement de juin 2013 à mars 2014 ; Vu la décision sur opposition du 27 juin 2017 aux termes de laquelle le SCAF a partiellement admis l'opposition, en ce sens que le montant réclamé a été ramené à CHF 9'600.-, pour des prestations perçues à tort de mars 2010 à février 2011 ; Vu le recours interjeté par l'intéressée le 27 juillet 2017 ; Vu la réponse de l'intimé du 15 septembre 2017 ; Vu la réplique de la recourante du 10 octobre 2017 ; Vu la duplique de l'intimé du 23 octobre 2017 ; Vu l’échange d’écritures intervenu entre le 17 janvier et le 17 avril 2018 ; Vu l'audience de comparution personnelle des parties du 3 mai 2018 ; Vu les écritures qui ont suivi ; Vu le courrier de la Cour de céans du 5 novembre 2018 informant la recourante qu'elle envisageait de procéder à une reformatio in pejus et lui accordant un délai pour se déterminer ; Vu le courrier de la recourante du 16 novembre 2018 indiquant qu'elle retirait son recours déposé le 27 juillet 2017 ; Considérant en droit que le recours a été retiré ; Qu'il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