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A/3182/2015 vom 30. Mai 2012</w:t>
      </w:r>
    </w:p>
    <w:p>
      <w:r>
        <w:t>GE Cour de justice, 2012-05-30, FR</w:t>
      </w:r>
    </w:p>
    <w:p>
      <w:r>
        <w:rPr>
          <w:b/>
        </w:rPr>
        <w:t xml:space="preserve">Quelle: </w:t>
      </w:r>
      <w:r>
        <w:t>https://mcp.opencaselaw.ch/entscheid/ge_gerichte_A_3182_2015</w:t>
      </w:r>
    </w:p>
    <w:p>
      <w:r>
        <w:t>FR: GE_GERICHTE A/3182/2015 du 30 mai 2012</w:t>
      </w:r>
    </w:p>
    <w:p>
      <w:r>
        <w:t>IT: GE_GERICHTE A/3182/2015 del 30 maggio 2012</w:t>
      </w:r>
    </w:p>
    <w:p>
      <w:pPr>
        <w:pStyle w:val="Heading2"/>
      </w:pPr>
      <w:r>
        <w:t>Volltext</w:t>
      </w:r>
    </w:p>
    <w:p>
      <w:r>
        <w:t>Genève Cour de justice (Cour de droit public) Chambre administrative 01.10.2015 A/3182/2015</w:t>
      </w:r>
    </w:p>
    <w:p>
      <w:r>
        <w:t>A/3182/2015 ATA/1021/2015 du 01.10.2015 ( ANIM ) , REFUSE RÉPUBLIQUE ET CANTON DE GENÈVE POUVOIR JUDICIAIRE A/3182/2015 - ANIM ATA/1021/2015 COUR DE JUSTICE Chambre administrative Décision du 1 er octobre 2015 sur effet suspensif et mesures provisionnelles dans la cause Madame A______ représentée par Me Pierre-Bernard Petitat, avocat contre SERVICE DE LA CONSOMMATION ET DES AFFAIRES VÉTÉRINAIRES Attendu, en fait, que : 1) Madame A______, née en 1962, habite un appartement à B______.![endif]&gt;![if&gt; 2) Par décision du 30 mai 2012, le service de la consommation et des affaires vétérinaires (ci-après : SCAV ou le service) a fait interdiction à Mme A______ (qui portait alors le nom de C______) de détenir des animaux, à l'exception de trois chiens et quatre chats identifiés par leurs noms (et pour les trois chiens, par leur numéro d'identification), de trois perruches ondulées, de deux mandarins, de cinq canaris, de poissons et de deux crustacés.![endif]&gt;![if&gt; 3) Le 4 août 2015, le SCAV a appris que Mme A______ était détentrice de deux chiens ne faisant pas partie de la liste précitée.![endif]&gt;![if&gt; 4) Le jour même, soit le 4 août 2015, des inspecteurs du SCAV se sont rendus au domicile de Mme A______. Cette dernière n'était pas présente, mais son fils et deux autres proches leur ont ouvert la porte de l'appartement. Ils y ont trouvé cinq chiens (dont deux étaient mentionnés dans la liste déjà citée), trois chats, un lapin blanc, trois oiseaux, deux aquariums avec des poissons d'eau douce et d'eau de mer, et un lézard de type gecko.![endif]&gt;![if&gt; Les inspecteurs du SCAV ont constitué un dossier photographique à cette occasion. Deux des chiens, ainsi que deux rongeurs, ont été séquestrés provisoirement. 5) Le 6 août 2015, Mme A______ a été entendue par le SCAV. Elle a notamment indiqué ne pas se souvenir d'avoir reçu la décision rendue en 2012, et exercer une activité de « dog sitting » à son domicile.![endif]&gt;![if&gt; 6) Par décision du 17 août 2015, le SCAV a prononcé une interdiction totale de détention d'animaux pour une durée de cinq ans à Mme A______, soumis à son autorisation toute acquisition ou détention d'animaux par l'intéressée pendant les cinq années postérieures à la période d'interdiction, et ordonné le séquestre définitif de tous les animaux détenus par Mme A______. Elle pouvait exercer son activité de « pet sitting » uniquement hors de son domicile.![endif]&gt;![if&gt; L'intéressée avait contrevenu à la décision du 30 mai 2012, qui la menaçait d'interdiction totale de détention. Les conditions de détention étaient similaires à celles observées en 2012, c'est-à-dire dans un appartement encombré et sale. 7) Par acte posté le 16 septembre 2015, Mme A______ a interjeté recours auprès de la chambre administrative de la Cour de justice (ci-après : la chambre administrative) contre la décision précitée, concluant préalablement à la restitution de l'effet suspensif à la décision (recte : au recours) et à la restitution immédiate de deux chiens, d'un chat et de la tortue terrestre, et principalement à l'annulation des neuf premiers chiffres du dispositif de la décision attaquée.![endif]&gt;![if&gt; L'acte ne contenait aucune motivation relative à la restitution de l'effet suspensif. Il y était en revanche indiqué que Mme A______ était, suite au séquestre de ses animaux, victime d'une sévère décompensation qui avait nécessité son hospitalisation. 8) Le 25 septembre 2015, le SCAV a conclu au rejet de la demande de restitution de l'effet suspensif au recours.![endif]&gt;![if&gt; L'intérêt public était prépondérant. Suite à plusieurs interventions du service pour négligence entre 1993 et 2012, la décision du 30 mai 2012 avait été prise, qui était entrée en force et menaçait expressément d'une interdiction totale de détention en cas de violation de ses termes. Le séquestre était une mesure nécessaire au vu des conditions d'hygiène et de détention constatées le 4 août 2015. La santé de l'intéressée ne pouvait être un argument en faveur de la restitution de l'effet suspensif – au contraire, car Mme A______ serait encore moins apte à s'occuper correctement de ses animaux. 9) Sur ce, la cause a été gardée à juger sur la question de l'effet suspensif.![endif]&gt;![if&gt; Considérant, en droit, que : 1)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2010).![endif]&gt;![if&gt; 2)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4)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En l'espèce, la recourante demande la restitution de l'effet suspensif au recours, tout du moins partiellement dès lors qu'elle demande que lui soient rendus quatre de ses animaux. Sa demande de restitution de l'effet suspensif n'est par ailleurs aucunement motivée, si ce n'est par la péjoration de son propre état de santé que le séquestre des animaux aurait entraîné.![endif]&gt;![if&gt; La décision attaquée met en avant divers problèmes liés aux conditions de vie et de détention à domicile des animaux de la recourante. Au nombre de ceux-ci comptent des aspects liés à l'hygiène et au bien-être des animaux, constatations relativement précises documentées par des photographies produites au dossier. Dès lors, si l'instruction de la présente cause doit justement permettre de déterminer si le prononcé de la décision querellée est justifié et si celle-ci est proportionnée, force est de constater qu'en l'état, la mise en balance des intérêts en jeu ne permet pas de revenir sur le caractère immédiatement exécutoire de la décision, la recourante ne faisant valoir aucun intérêt privé pertinent. 7) La demande de restitution de l'effet suspensif au recours sera dès lors rejetée.![endif]&gt;![if&gt; 8) Dès lors néanmoins que la décision attaquée prévoit également le séquestre définitif des animaux en cause, il se justifie d'ordonner d'office, à titre de mesure provisionnelle et afin de conserver au litige son objet, que les animaux concernés restent jusqu'à droit jugé en mains du SCAV et ne soient pas donnés, vendus ou mis à mort (cf. ATA/685/2015 du 26 juin 2015).![endif]&gt;![if&gt; 9) Le sort des frais sera réservé jusqu'à droit jugé au fond.![endif]&gt;![if&gt; LA CHAMBRE ADMINISTRATIVE refuse de restituer l’effet suspensif au recours ; ordonne que les animaux concernés restent jusqu'à droit jugé en mains du Service de la consommation et des affaires vétérinaires et ne soient pas donnés, vendus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Pierre-Bernard Petitat, avocat de la recourante ainsi qu'au service de la consommation et des affaires vétérinaires.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