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A/3172/2019 vom 24. November 2020</w:t>
      </w:r>
    </w:p>
    <w:p>
      <w:r>
        <w:t>GE Cour de justice, 2020-11-24, FR</w:t>
      </w:r>
    </w:p>
    <w:p>
      <w:r>
        <w:rPr>
          <w:b/>
        </w:rPr>
        <w:t xml:space="preserve">Quelle: </w:t>
      </w:r>
      <w:r>
        <w:t>https://mcp.opencaselaw.ch/entscheid/ge_gerichte_A_3172_2019</w:t>
      </w:r>
    </w:p>
    <w:p>
      <w:r>
        <w:t>FR: GE_GERICHTE A/3172/2019 du 24 novembre 2020</w:t>
      </w:r>
    </w:p>
    <w:p>
      <w:r>
        <w:t>IT: GE_GERICHTE A/3172/2019 del 24 novembre 2020</w:t>
      </w:r>
    </w:p>
    <w:p>
      <w:pPr>
        <w:pStyle w:val="Heading2"/>
      </w:pPr>
      <w:r>
        <w:t>Erwägungen</w:t>
      </w:r>
    </w:p>
    <w:p>
      <w:r>
        <w:rPr>
          <w:b/>
        </w:rPr>
        <w:t>E. 9</w:t>
      </w:r>
    </w:p>
    <w:p>
      <w:r>
        <w:t>ème Chambre En la cause Monsieur A______, domicilié à PALÉZIEUX recourant contre CAISSE CANTONALE GENEVOISE DE COMPENSATION, sise Service juridique, rue des Gares 12, GENÈVE Madame B______, domiciliée à MEYRIN, comparant avec élection de domicile en l'étude de Maître Mourad SEKKIOU intimée appelée en en en cause CAISSE CANTONALE GENEVOISE DE COMPENSATION, sise Service juridique;12, rue des Gares;Case postale 2595, 1211 Genève 2 Madame B______, domiciliée Avenue de Vaudagne 25, 1217 Meyrin, comparant avec élection de domicile en l'étude de Maître Mourad SEKKIOU intimée EN FAIT 1.        La société C______Sàrl, en liquidation (ci-après : la société) a été inscrite au registre du commerce (ci-après : RC) le 16 octobre 1978. Son but était notamment le coffrage, le ferraillage, le bétonnage et les finitions de chantier. La société a été dissoute par suite de faillite prononcée par le Tribunal de première instance le 16 avril 2018. La procédure de faillite ayant été clôturée par jugement du 4 mars 2019, elle a été radiée du RC le 7 mars 2019. Monsieur A______ (ci-après : l'associé gérant) en était associé gérant, avec signature collective à deux, du 2 novembre 2015 au 12 juillet 2017. Madame B______, en était l'associée gérante du 2 novembre 2015 jusqu'à sa radiation, d'abord avec signature collective à deux, puis avec signature individuelle depuis le 12 juillet 2017. 2.        Par décision du 7 mai 2019, la caisse genevoise de compensation (ci-après : la caisse) a réclamé à l'associé gérant le montant de CHF 126'940.95 correspondant au dommage causé par le non-paiement, par la société, des cotisations paritaires AVS/AI/APG/AC et assurance maternité du 1 er janvier 2016 au 30 juin 2017. 3.        Le 27 mai 2019, l'associé gérant a formé opposition à la décision précitée, en faisant valoir en substance qu'il avait « simplement apporté sa signature pour l'ouverture de l'entreprise ». Étant « jeune et naïf », il avait voulu rendre service en effectuant cette démarche sans en mesurer les conséquences. À cette époque, il était « faible d'esprit et manipulable » et n'avait jamais entretenu la moindre relation financière ou administrative avec la société. L'unique et réel actionnaire de la société était Monsieur D______ qui avait utilisé son identité ainsi que celle de son épouse, Mme B______, pour constituer sa société. Durant cette période, il était en activité comme simple salarié en essayant de « joindre les deux bouts ». Il était actuellement sans emploi et son épouse était enceinte de leur deuxième enfant. Il ne pouvait donc pas s'acquitter de cette somme. Il se sentait victime d'une « escroquerie ». 4.        Par décision sur opposition du 19 juillet 2019, la caisse a maintenu sa décision. L'associé gérant était indiscutablement organe de la société, de sorte que sa responsabilité pouvait être engagée. Son comportement à l'égard de la caisse était bien constitutif de négligence grave. Il lui incombait de veiller personnellement à l'acquittement des cotisations. La caisse ne voyait au surplus aucun motif objectif susceptible de justifier le défaut de paiement des cotisations. 5.        Par acte du 13 août 2019, l'associé gérant a interjeté recours contre cette décision devant la chambre des assurances sociales de la Cour de justice, concluant au maintien de son opposition. Son cousin lui avait toujours dit qu'il payait les cotisations sociales. Ce dernier s'engageait d'ailleurs à s'acquitter du montant par mensualités. Lorsqu'il était associé gérant de la société, il n'était pas du tout lié à cette entreprise et travaillait dans le domaine de l'entretien de bateaux à Neuchâtel. La responsabilité du non-paiement des cotisations incombait ainsi à son cousin. 6.        Dans sa réponse du 30 septembre 2019, la caisse a maintenu les termes de sa décision sur opposition. 7.        L'associé gérant n'a pas formé d'observations dans le délai imparti à cet effet. 8.        Par pli du 16 avril 2020, la chambre de céans a demandé à la caisse si une décision de réparation du dommage avait été rendue à l'encontre de Mme B______. 9.        Le 12 mai 2020, la caisse a répondu qu'une décision de réparation de dommage pour un montant de CHF 235'925.- avait été rendue à l'encontre de Mme B______ le 7 mai 2019. 10.    Par ordonnance du 15 mai 2020, la chambre de céans a appelé en cause Mme B______ et lui a imparti un délai pour se déterminer. 11.    Le 10 juillet 2020, Mme B______, par l'intermédiaire de son conseil, s'en est rapportée à justice. 12.    La chambre de céans a transmis cette écriture à l'associé gérant.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Le siège de la société ayant été dans le canton de Genève jusqu'au moment de la faillite, la chambre de céans est également compétente ratione loci. 2.        À teneur de l'art. 1 al. 1 LAVS, les dispositions de la LPGA s'appliquent aux art. 1 à 97 LAVS, à moins que la loi n'y déroge expressément. 3.        Interjeté dans les forme et délai prévus par la loi, le recours est recevable (art. 56ss LPGA ; en particulier les art. 38 al. 4 let. b LPGA et 89C let. b LPA). 4.        Le litige porte sur la responsabilité du recourant pour le dommage subi par l'intimée du fait du défaut de paiement des cotisations sociales par la société du 1 er janvier 2016 au 30 juin 2017. 5.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Selon l'art. 52 al. 1 LAVS, l'employeur qui, intentionnellement ou par négligence grave, n'observe pas des prescriptions et cause ainsi un dommage à l'assurance, est tenu à réparation. L'obligation de l'employeur de percevoir les cotisations et de régler les comptes est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et les références). 6.        À titre liminaire, il convient d'examiner si la prétention de la caisse est prescrite. a. Selon l'art. 52 al. 3 LAVS, en sa teneur jusqu'au 31 décembre 2019 (cf. ATF 130 V 445 consid. 1),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Les délais prévus par l'art. 52 al. 3 LAVS doivent être qualifiés de délais de prescription et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le dommage s'est produit le 16 avril 2018, soit au moment de la faillite de la société, publiée dans la Feuille officielle suisse du commerce (ci-après : FOSC) le 1 er mai 2018. En adressant au recourant le 7 mai 2019 une décision en réparation du dommage, l'intimée a agi dans le délai de prescription de deux ans. Elle l'a ainsi valablement interrompue au sens des dispositions précitées. Quant au délai de prescription de cinq ans, il n'est pas encore échu. 7.        L'action en réparation du dommage n'étant pas prescrite, il convient à présent d'examiner si le recourant peut être considéré comme étant « l'employeur » tenu de verser les cotisations à l'intimée, s'il(s) a(ont) commis une faute ou une négligence grave et enfin s'il existe un lien de causalité adéquate entre son(leur) comportement et le dommage causé à l'intimée. a.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 b. En l'espèce, le recourant a été associé gérant, avec signature collective à deux, du 2 novembre 2015 au 12 juillet 2017. Il disposait ainsi de la qualité d'organe formel de la société à teneur du RC. Conformément aux dispositions précitées, il répond du dommage à titre subsidiaire. 8.        Reste à examiner si les autres conditions de la responsabilité de l'art. 52 al. 1 LAVS sont réalisées.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b.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c. Le dommage selon l'art. 52 LAVS comprend les cotisations impayées dues selon la LAVS, la loi fédérale sur l'assurance-invalidité du 19 juin 1959 (LAI - RS 831.20 ; art. 66 LAI), la loi fédérale du 25 septembre 1952 sur les allocations pour perte de gain en cas de service et de maternité (LAPG - RS 834.1 ; art. 21 al. 2 LAPG), la loi fédérale du 20 juin 1952 sur les allocations familiales dans l'agriculture (LFA - RS 836.1 ; art. 25 al. LFA), la loi fédérale du 24 mars 2006 sur les allocations familiales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Par arrêt du 30 janvier 2020 ( ATAS/79/2020 ), la chambre de céans a jugé qu'il n'existait pas de base légale suffisante pour rechercher les employeurs ou leurs organes pour le dommage résultant du défaut de paiement des cotisations dues en vertu de la loi genevoise instituant une assurance en cas de maternité et d'adoption (LAMat - RSG J 5 07). 9.        Devant la chambre de céans, le recourant cherche à démontrer qu'il n'a jamais participé à la gestion des affaires de la société et que son cousin était la seule personne qui gérait l'entreprise. Or, c'est précisément cette inaction qui constitue la violation de ses devoirs. En conservant formellement, pendant près de deux ans, un mandat de gestion qu'il indique n'avoir jamais assumé dans les faits, le recourant occupait une position comparable à celle d'un « homme de paille », soit une personne qui se déclare prête à assumer ou à conserver un mandat d'associé gérant d'une Sàrl, tout en sachant qu'il ne pourra (ou ne voudra) pas le remplir consciencieusement. Or, selon la jurisprudence constante du Tribunal fédéral, une telle situation est précisément inadmissible, l'associé gérant violant, en cela, son obligation de diligence (ATF 122 III 195 consid. 3b p. 200 ; arrêts du Tribunal fédéral 9C_722/2015 du 31 mai 2016 consid. 3.3 ; 9C_446/2014 du 2 septembre 2014 consid. 4.2 ; 9C_344/2011 du 3 février 2012 consid. 4.2). En ne veillant pas au versement des cotisations courantes et arriérées alors qu'il était associé gérant d'une société à responsabilité limitée, le recourant a donc commis une négligence qui doit, sous l'angle de l'art. 52 LAVS, être qualifiée de grave. Les manquements de l'intéressé relatifs au défaut de paiement des cotisations paritaires sont sans aucun doute en rapport de causalité naturelle et adéquate avec le dommage subi par l'intimée. Il s'ensuit que le recourant ne saurait être exonéré de sa responsabilité d'organe envers l'intimée. S'agissant du montant du dommage, le recourant ne remet pas en cause la somme réclamée, laquelle est justifiée par les pièces au dossier. Conformément à la jurisprudence récente de la chambre de céans, il convient cependant de déduire du montant réclamé par l'intimée de CHF 126'940.95 le dommage résultant du défaut de paiement des cotisations dues en vertu de la LAMat ( ATAS/79/2020 du 30 janvier 2020). 10.    Eu égard à ce qui précède, le recours est très partiellement admis, et la cause sera renvoyée à l'intimée pour nouveaux calculs du dommage excluant les cotisations impayées découlant de la LAMat, les intérêts moratoires et frais administratifs afférents à ces montants, et nouvelle décision sur ce point. Le recourant obtenant très partiellement gain de cause et ayant agi en personne, il ne se justifie pas de lui octroyer des dépens (art. 61 let. g LPGA et art. 6 du règlement sur les frais, émoluments et indemnités en matière administrative du 30 juillet 1986 [RFPA - E 5 10.03]).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