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A/3170/2021 vom 13. Juni 2023</w:t>
      </w:r>
    </w:p>
    <w:p>
      <w:r>
        <w:t>GE Cour de justice, 2023-06-13, FR</w:t>
      </w:r>
    </w:p>
    <w:p>
      <w:r>
        <w:rPr>
          <w:b/>
        </w:rPr>
        <w:t xml:space="preserve">Quelle: </w:t>
      </w:r>
      <w:r>
        <w:t>https://mcp.opencaselaw.ch/entscheid/ge_gerichte_A_3170_2021</w:t>
      </w:r>
    </w:p>
    <w:p>
      <w:r>
        <w:t>FR: GE_GERICHTE A/3170/2021 du 13 juin 2023</w:t>
      </w:r>
    </w:p>
    <w:p>
      <w:r>
        <w:t>IT: GE_GERICHTE A/3170/2021 del 13 giugno 2023</w:t>
      </w:r>
    </w:p>
    <w:p>
      <w:pPr>
        <w:pStyle w:val="Heading2"/>
      </w:pPr>
      <w:r>
        <w:t>Erwägungen</w:t>
      </w:r>
    </w:p>
    <w:p>
      <w:r>
        <w:rPr>
          <w:b/>
        </w:rPr>
        <w:t>E. 2</w:t>
      </w:r>
    </w:p>
    <w:p>
      <w:r>
        <w:t>Le litige porte sur la décision de l'intimé du 3 août 2021 de refus d'octroi d'une autorisation de séjour et de renvoi de Suisse. ![endif]&gt;![if&gt;</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w:t>
      </w:r>
    </w:p>
    <w:p>
      <w:r>
        <w:rPr>
          <w:b/>
        </w:rPr>
        <w:t>E. 2.2</w:t>
      </w:r>
    </w:p>
    <w:p>
      <w:r>
        <w:t>Le 1 er janvier 2019 est entrée en vigueur une modification de la loi sur les étrangers du 16 décembre 2005 (LEtr), devenue la LEI, et de l’OASA. Conformément à l'art. 126 al. 1 LEI et à la jurisprudence du Tribunal fédéral (arrêt du Tribunal fédéral 2C_404/2022 du 4 août 2022 consid. 6.1), les demandes déposées, comme en l'espèce, avant le 1 er janvier 2019 sont régies par l'ancien droit, étant précisé que la plupart des dispositions de la LEI sont demeurées identiques.![endif]&gt;![if&gt;</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Kosovo.![endif]&gt;![if&gt;</w:t>
      </w:r>
    </w:p>
    <w:p>
      <w:r>
        <w:rPr>
          <w:b/>
        </w:rPr>
        <w:t>E. 3</w:t>
      </w:r>
    </w:p>
    <w:p>
      <w:r>
        <w:t>Le recourant ne revendique plus à ce stade qu'une autorisation de séjour pour cas d'extrême gravité, et non une autorisation de séjour en vue de traitement médical au sens de l'art. 29 LEI. Le jugement attaqué doit donc être considéré comme doté de l'autorité de la chose jugée sur ce point.![endif]&gt;![if&gt;</w:t>
      </w:r>
    </w:p>
    <w:p>
      <w:r>
        <w:rPr>
          <w:b/>
        </w:rPr>
        <w:t>E. 3.1</w:t>
      </w:r>
    </w:p>
    <w:p>
      <w:r>
        <w:t>Aux termes de l'art. 30 al. 1 let. b LEI, il est possible de déroger aux conditions d'admission (art. 18 à 29 LEI) notamment dans le but de tenir compte des cas individuels d'une extrême gravité ou d'intérêts publics majeurs.![endif]&gt;![if&gt;</w:t>
      </w:r>
    </w:p>
    <w:p>
      <w:r>
        <w:rPr>
          <w:b/>
        </w:rPr>
        <w:t>E. 3.2</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[ci-après : directives LEI], état au 1 er janvier 2021, ch. 5.6.12).![endif]&gt;![if&gt;</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3.4</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4.3).![endif]&gt;![if&gt;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5f).![endif]&gt;![if&gt;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3.6</w:t>
      </w:r>
    </w:p>
    <w:p>
      <w:r>
        <w:t>En l'espèce, les problèmes de santé du recourant sont nombreux, et pour certains relativement sérieux. Force est toutefois de constater qu'il les rencontrait déjà – quand bien même ils se sont aggravés en 2019 puis en 2021 – avant son arrivée en Suisse en mai 2018. Le recourant reconnaît du reste lui-même, dans son acte de recours, s'être installé en Suisse pour des raisons de santé, et il a déclaré en audience avoir été suivi à B______ et D______ pour ses problèmes de santé. Son médecin traitant a de plus indiqué que son diabète était connu depuis 1999.![endif]&gt;![if&gt; Dès lors, conformément à la jurisprudence du Tribunal fédéral, il doit être considéré comme étant entré pour la première fois en Suisse en souffrant déjà d'une sérieuse atteinte à la santé, si bien qu'il ne saurait se fonder sur ce motif médical pour bénéficier d'une exemption aux mesures de limitation. En outre, la relation qu'il entretient avec son fils n'apparaît pas suffisante pour lui reconnaître des liens d'une certaine intensité avec la Suisse, comme en témoigne son manque d'intégration professionnelle et sociale tel qu'analysé ci-dessous. Force est de constater qu'il ne remplit pas les autres conditions d'un cas d'extrême gravité, puisque son intégration professionnelle est nulle – essentiellement en lien avec ses problèmes de santé – et que son intégration sociale est très faible, puisqu'il n'est arrivé en Suisse qu'en 2018, soit à l'âge de 58 ans, n'a de contacts quasiment qu'avec son fils et sa belle-fille, ne parle pas français et n'allègue pas avoir noué des relations fortes avec des personnes locales ni s'être engagé dans la vie culturelle ou associative du canton. Il dépend entièrement de l'aide sociale et a encore des liens avec son pays d'origine, où résident son épouse et l'un de ses trois fils, et où il est du reste retourné à au moins deux reprises depuis 2018. Au vu de ce qui précède et de l'ensemble des circonstances d'espèce, il apparaît que l'autorité intimée et le TAPI ont à juste titre retenu que le recourant ne remplissait pas les conditions d'octroi d'une autorisation de séjour au sens de l'art. 30 al. 1 let. b LEI et 31 OASA.</w:t>
      </w:r>
    </w:p>
    <w:p>
      <w:r>
        <w:rPr>
          <w:b/>
        </w:rPr>
        <w:t>E. 4</w:t>
      </w:r>
    </w:p>
    <w:p>
      <w:r>
        <w:t>Enfin, le recourant soutient que son renvoi serait illicite ou inexigible, revendiquant donc matériellement d'être mis au bénéfice d'une admission provisoire.![endif]&gt;![if&gt;</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le recourant se fonde principalement sur le certificat médical émanant de son médecin traitant et sur l'audition de celle-ci par le TAPI. Il en découle toutefois principalement le constat selon lequel sa prise en charge au Kosovo ne serait pas aussi bonne et efficace qu'à Genève, où – notamment – une infirmière de l'IMAD passe deux fois par jour le voir. Or, conformément à la jurisprudence, ce constat n'est pas suffisant pour admettre que son renvoi ne serait pas exigible. Le dossier ne contient pas d'éléments probants à même de remettre en cause la possibilité de prise en charge médicale du recourant au Kosovo qu'a mise en avant la représentation suisse dans ce pays. Le médecin traitant du recourant a elle-même admis qu'il y avait à B______ des diabétologues, des cardiologues, et des spécialistes à même de traiter les pathologies du patient, soulignant surtout l'absence d'infirmières à domicile et les difficultés de prise en charge d'une infection aussi compliquée que celle du recourant – et se basant pour émettre cette dernière affirmation sur les dires de l’une de ses cousines infirmière à B______, ce qui ne constitue pas une assise suffisante pour considérer une telle affirmation comme établie.![endif]&gt;![if&gt; Dès lors, dans la mesure où il existe des structures de soins suffisantes au Kosovo qui peuvent prendre en charge les soins nécessités par les troubles dont souffre le recourant et tels qu'ils ressortent de son dossier médical, son renvoi ne l'expose pas à un risque réel d'être confronté à un déclin grave, rapide et irréversible de son état de santé entraînant des souffrances intenses ou à une réduction significative de son espérance de vie – étant rappelé au surplus que le recourant paraît s'être rendu en Suisse et y avoir séjourné de manière illégale principalement sinon uniquement pour y profiter de prestations de santé entièrement financées par une collectivité au sein de laquelle il n'avait jamais vécu jusqu'alors. On ne saurait dans ces circonstances considérer le renvoi du recourant au Kosovo comme illicite ou inexigible. Au vu de ce qui précède, la décision de l'OCPM est conforme au droit et le recours contre le jugement du TAPI, entièrement mal fondé, sera rejeté.</w:t>
      </w:r>
    </w:p>
    <w:p>
      <w:r>
        <w:rPr>
          <w:b/>
        </w:rPr>
        <w:t>E. 5</w:t>
      </w:r>
    </w:p>
    <w:p>
      <w:r>
        <w:t>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