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A/316/2023 vom 21. November 2023</w:t>
      </w:r>
    </w:p>
    <w:p>
      <w:r>
        <w:t>GE Cour de justice, 2023-11-21, FR</w:t>
      </w:r>
    </w:p>
    <w:p>
      <w:r>
        <w:rPr>
          <w:b/>
        </w:rPr>
        <w:t xml:space="preserve">Quelle: </w:t>
      </w:r>
      <w:r>
        <w:t>https://mcp.opencaselaw.ch/entscheid/ge_gerichte_A_316_2023</w:t>
      </w:r>
    </w:p>
    <w:p>
      <w:r>
        <w:t>FR: GE_GERICHTE A/316/2023 du 21 novembre 2023</w:t>
      </w:r>
    </w:p>
    <w:p>
      <w:r>
        <w:t>IT: GE_GERICHTE A/316/2023 del 21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L’objet du litige est le refus de l’OCPM de délivrer aux trois recourantes une autorisation de séjour pour regroupement familial et sa confirmation par le TAPI.![endif]&gt;![if&gt;</w:t>
      </w:r>
    </w:p>
    <w:p>
      <w:r>
        <w:rPr>
          <w:b/>
        </w:rPr>
        <w:t>E. 2.1</w:t>
      </w:r>
    </w:p>
    <w:p>
      <w:r>
        <w:t>Le 1 er janvier 2019, est entrée en vigueur une modification de la loi fédérale sur les étrangers du 16 décembre 2005 (LEtr), devenue la LEI, étant précisé que la plupart des dispositions de la LEI sont demeurées identiques.![endif]&gt;![if&gt;</w:t>
      </w:r>
    </w:p>
    <w:p>
      <w:r>
        <w:rPr>
          <w:b/>
        </w:rPr>
        <w:t>E. 2.2</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Sénégal.![endif]&gt;![if&gt;</w:t>
      </w:r>
    </w:p>
    <w:p>
      <w:r>
        <w:rPr>
          <w:b/>
        </w:rPr>
        <w:t>E. 2.3</w:t>
      </w:r>
    </w:p>
    <w:p>
      <w:r>
        <w:t>Selon l’art. 44 LEI, le conjoint étranger du titulaire d’une autorisation de séjour ainsi que ses enfants célibataires étrangers de moins de 18 ans peuvent obtenir une autorisation de séjour et la prolongation de celle-ci, notamment, s’ils vivent en ménage commun avec lui (let. a), disposent d’un logement approprié (let. b) et ne dépendent pas de l’aide sociale (let. c).![endif]&gt;![if&gt;</w:t>
      </w:r>
    </w:p>
    <w:p>
      <w:r>
        <w:rPr>
          <w:b/>
        </w:rPr>
        <w:t>E. 2.4</w:t>
      </w:r>
    </w:p>
    <w:p>
      <w:r>
        <w:t>S’agissant de la condition de disposer d’un logement approprié (art. 44 al. 1 let. b LEI, il faut que le logement suffise pour tous les membres de la famille. Une partie des autorités cantonales compétentes en matière d’étrangers se fonde sur le critère du nombre de pièces (nombre de personnes - 1 = taille minimale du logement ; SEM, Directives et commentaires, Domaine des étrangers, état au 1 er janvier 2021 [ci-après : Directives LEI], ch. 6.1.4). ![endif]&gt;![if&gt;</w:t>
      </w:r>
    </w:p>
    <w:p>
      <w:r>
        <w:rPr>
          <w:b/>
        </w:rPr>
        <w:t>E. 2.5</w:t>
      </w:r>
    </w:p>
    <w:p>
      <w:r>
        <w:t>Le regroupement familial suppose par ailleurs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3.9).![endif]&gt;![if&gt;</w:t>
      </w:r>
    </w:p>
    <w:p>
      <w:r>
        <w:rPr>
          <w:b/>
        </w:rPr>
        <w:t>E. 2.5.1</w:t>
      </w:r>
    </w:p>
    <w:p>
      <w:r>
        <w:t>À teneur des directives et commentaire du SEM, les moyens financiers doivent permettre aux membres de la famille de subvenir à leurs besoins sans dépendre de l'aide sociale (art. 44 al. 1 let. c LEI). Les moyens financiers doivent au moins correspondre aux normes édictées par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état au 1 er janvier 2021 [ci-après : Directives LEI], ch. 6.4.1.3).![endif]&gt;![if&gt;</w:t>
      </w:r>
    </w:p>
    <w:p>
      <w:r>
        <w:rPr>
          <w:b/>
        </w:rPr>
        <w:t>E. 2.5.2</w:t>
      </w:r>
    </w:p>
    <w:p>
      <w:r>
        <w:t>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w:t>
      </w:r>
    </w:p>
    <w:p>
      <w:r>
        <w:rPr>
          <w:b/>
        </w:rPr>
        <w:t>E. 2.5.3</w:t>
      </w:r>
    </w:p>
    <w:p>
      <w:r>
        <w:t>Le Tribunal administratif fédéral (ci-après : TAF) a déjà eu l'occasion de relever qu'en principe il ne paraît pas justifié d'exiger un revenu allant au-delà des normes CSIAS et d'appliquer ainsi d'autres critères que ceux pris en compte lors de l'octroi de prestations sociales (arrêts du TAF F-7288/2014 du 5 décembre 2016 consid. 5.3.2 ; E-98/2013 du 21 mars 2013 consid. 4.5).</w:t>
      </w:r>
    </w:p>
    <w:p>
      <w:r>
        <w:rPr>
          <w:b/>
        </w:rPr>
        <w:t>E. 2.5.4</w:t>
      </w:r>
    </w:p>
    <w:p>
      <w:r>
        <w:t>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citées ; arrêt du TAF F-7288/2014 précité consid. 5.3.3).![endif]&gt;![if&gt;</w:t>
      </w:r>
    </w:p>
    <w:p>
      <w:r>
        <w:rPr>
          <w:b/>
        </w:rPr>
        <w:t>E. 2.5.5</w:t>
      </w:r>
    </w:p>
    <w:p>
      <w:r>
        <w:t>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986.-. Ce montant est multiplié par 2,14 pour une famille de quatre personnes (art. 2 al. 1 let. c RIASI).![endif]&gt;![if&gt;</w:t>
      </w:r>
    </w:p>
    <w:p>
      <w:r>
        <w:rPr>
          <w:b/>
        </w:rPr>
        <w:t>E. 2.6</w:t>
      </w:r>
    </w:p>
    <w:p>
      <w:r>
        <w:t>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w:t>
      </w:r>
    </w:p>
    <w:p>
      <w:r>
        <w:rPr>
          <w:b/>
        </w:rPr>
        <w:t>E. 2.6.1</w:t>
      </w:r>
    </w:p>
    <w:p>
      <w:r>
        <w:t>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w:t>
      </w:r>
    </w:p>
    <w:p>
      <w:r>
        <w:rPr>
          <w:b/>
        </w:rPr>
        <w:t>E. 2.6.2</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ATA/730/2023 du 4 juillet 2023 consid. 5.2 et les arrêts cités).</w:t>
      </w:r>
    </w:p>
    <w:p>
      <w:r>
        <w:rPr>
          <w:b/>
        </w:rPr>
        <w:t>E. 3</w:t>
      </w:r>
    </w:p>
    <w:p>
      <w:r>
        <w:t>En l’espèce, le logement familial est composé de deux pièces, cuisine comprise, de sorte que la condition du logement approprié prescrite par l'art. 44 let. b LEI n’est pas remplie s'agissant d'un ménage composé de quatre personnes. Si la recourante indique qu’elle est à la recherche d’un logement plus grand, elle ne produit aucun document sur ce point, ce qui est la situation prévalant depuis le dépôt de la demande d’autorisation pour regroupement familial.![endif]&gt;![if&gt; S’y ajoute que comme justement retenu par le TAPI, le revenu de l’époux de la recourante n’est pas déterminé ni déterminable, dans la mesure où selon les documents les plus récents versés à la procédure, il était au bénéfice d’un contrat sur appel improprement dit du 9 décembre 2022. La recourante n’a toutefois produit aucune fiche de salaire depuis le début de l’année 2023, nonobstant l’invitation de l’OCPM à le faire dans sa réponse au recours devant le TAPI et le constat par cette instance que la recourante ne s’était pas exécutée. Toujours est-il que la situation de l’époux de la recourante n’est pas stable, étant rappelé qu’il s’est auparavant trouvé au chômage, le délai cadre ayant couru jusqu’au 30 avril 2023. La recourante ne réalise aucun revenu. Elle ne soutient pas avoir commencé à chercher une activité rémunérée, expliquant au contraire qu’elle doit s’occuper de sa deuxième fille, âgée de 4 ans. Toutefois, le fait d’avoir à s’occuper d’un enfant de 4 ans n’est pas un empêchement absolu à une activité lucrative, fût-ce à temps partiel. Elle n’a produit aucun des documents requis de longue date par l’OCPM en lien avec les formations suivies et emplois qu’elle aurait eus avant son arrivée en Suisse. On ignore donc tout de son employabilité. Dans ces conditions, le groupe familial pourrait prochainement dépendre de l’aide sociale, d’autant plus s’il devait emménager dans un appartement plus spacieux et partant au loyer plus important. Il y a donc lieu d'émettre un pronostic défavorable au terme duquel les recourantes sont et continueront à être à même de subvenir à leurs besoins et ne dépendront pas, ou du moins pas de façon durable, à l'aide sociale, conformément à l'art. 44 let. c LEI. Au surplus, au stade du recours, la recourante n’a toujours rien indiqué ni a fortiori fourni de document quant aux circonstances de son séjour en Espagne, notamment le statut administratif qu’elle y aurait eu, étant rappelé que sa seconde fille y est née en septembre 2019. La production devant la chambre de céans d’une copie de l’acte de naissance de sa fille aînée muni d’une apostille du 14 juin 2023 ne change rien au fait que les conditions d’un regroupement familial requises par l’art. 44 al. 1 let.b et c ne sont pas réalisées.</w:t>
      </w:r>
    </w:p>
    <w:p>
      <w:r>
        <w:rPr>
          <w:b/>
        </w:rPr>
        <w:t>E. 4</w:t>
      </w:r>
    </w:p>
    <w:p>
      <w:r>
        <w:t>Les recourantes se prévalent des art. 8 CEDH et 3 CDE.![endif]&gt;![if&gt;</w:t>
      </w:r>
    </w:p>
    <w:p>
      <w:r>
        <w:rPr>
          <w:b/>
        </w:rPr>
        <w:t>E. 4.1</w:t>
      </w:r>
    </w:p>
    <w:p>
      <w:r>
        <w:t>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1.3).![endif]&gt;![if&gt; Les relations familiales qui peuvent fonder un droit à une autorisation sont avant tout les rapports entre époux ainsi qu'entre parents et enfants mineurs vivant ensemble (ATF 135 I 143 consid. 1.3.2).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135 I 153 consid. 2.2.1). Le refus d'octroyer une autorisation de séjour (ou d'établissement) fondé sur l'art. 8 par. 2 CEDH ne se justifie que si la pesée des intérêts à effectuer dans le cas d'espèce fait apparaître la mesure comme proportionnée aux circonstances (ATF 139 I 145 consid. 2.2 ; 135 II 377 consid. 4.3). Cette condition correspond aux exigences de l'art. 96 LEI (ATF 137 I 284 consid. 2.1).</w:t>
      </w:r>
    </w:p>
    <w:p>
      <w:r>
        <w:rPr>
          <w:b/>
        </w:rPr>
        <w:t>E. 4.2</w:t>
      </w:r>
    </w:p>
    <w:p>
      <w:r>
        <w:t>L’art. 8 CEDH n’emporte pas une obligation générale pour un État de respecter le choix par des immigrants de leur pays de résidence et d’autoriser le regroupement familial sur le territoire de ce pays (ACEDH Ahmut c. Pays-Bas, 28 novembre 1996, Rec. 1996-VI, req. n° 21702/93, § 67) ; il ne consacre pas le droit de choisir l'endroit le plus approprié à la poursuite de la vie familiale (DCEDH Adnane c. Pays-Bas, du 6 novembre 2011, req. n° 50568/99 ; Mensah c. Pays-Bas, du 9 octobre 2001, req. n° 47042/99). Dans une affaire qui concerne la vie familiale aussi bien que l’immigration, l’étendue des obligations pour l’État d’admettre sur son territoire des proches de personnes qui y résident varie cependant en fonction de la situation particulière des personnes concernées et de l’intérêt général (ACEDH Osman c. Danemark, du 14 juin 2011, req. n° 38058/09, § 54 ; Abdulaziz, Cabales et Balkandali c. Royaume-Uni, du 28 mai 1985, série A n° 94, § 67 et 68).![endif]&gt;![if&gt; Les facteurs à prendre en considération dans ce contexte sont la mesure dans laquelle le refus d’autorisation entrave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de l’étranger (ACEDH Rodrigues da Silva et Hoogkamer c. Pays-Bas, Rec. 2006-I, req. n° 50435/99, § 39 ; DCEDH Margoul c. Belgique, du 15 novembre 2011, req. n° 63935/09). Une autre considération importante consiste à savoir si la vie familiale a été créée à un moment où les personnes impliquées étaient conscientes que le statut de l'une d’elles vis-à-vis des services de l'immigration était tel que la pérennité de la vie familiale dans l'État hôte serait dès le départ précaire : lorsque tel est le cas, le renvoi du membre étranger de la famille ne sera qu'exceptionnellement incompatible avec l'art. 8 CEDH (ACEDH M.A. c. Danemark du 9 juillet 2021, req. n° 6697/18, § 134 ; Antwi et autres c. Norvège du 14 février 2012, req. n° 26940/10, § 89 ; Nunez précité, § 70).</w:t>
      </w:r>
    </w:p>
    <w:p>
      <w:r>
        <w:rPr>
          <w:b/>
        </w:rPr>
        <w:t>E. 4.3</w:t>
      </w:r>
    </w:p>
    <w:p>
      <w:r>
        <w:t>Dans le cadre de l'examen de la proportionnalité de la mesure (art. 8 par. 2 CEDH, art. 96 LEI et art. 13 cum art. 36 Cst.), il faut aussi tenir compte de l'intérêt fondamental de l'enfant (art. 3 CDE) à pouvoir grandir en jouissant d'un contact étroit avec ses deux parents (ATF 143 I 21 consid. 5.5.1 ; arrêts du Tribunal fédéral 2C_1050/2016 du 10 mars 2017 consid. 5.1 ; 2C_520/2016 du 13 janvier 2017 consid. 4.2 et les arrêts cités; aussi arrêt de la CourEDH El Ghatet c. Suisse du 8 novembre 2016 [requête n° 56971/10], par. 27 s. et 46 s.), étant précisé que, sous l'angle du droit des étrangers, cet élément n'est pas prépondérant par rapport aux autres (ATF 143 I 21 consid. 5.5.1 ; 139 I 315 consid. 2.4 ; arrêts du Tribunal fédéral 2C_1050/2016 du 10 mars 2017 consid. 1 ; 2C_997/2015 du 30 juin 2016 consid. 4.3 ; 2C_497/2014 du 26 octobre 2015 consid. 5.1) et que l'art. 3 CDE qui le protège ne saurait fonder une prétention directe à l'octroi ou au maintien d'une autorisation (ATF 140 I 145 consid. 3.2 ; 139 I 315 consid. 2.4 s. ; arrêts du Tribunal fédéral 2C_1050/2016 du 10 mars 2017 consid. 5.1 ; 2C_165/2016 du 8 septembre 2016 consid. 5.3). ![endif]&gt;![if&gt;</w:t>
      </w:r>
    </w:p>
    <w:p>
      <w:r>
        <w:rPr>
          <w:b/>
        </w:rPr>
        <w:t>E. 4.4</w:t>
      </w:r>
    </w:p>
    <w:p>
      <w:r>
        <w:t>Aux termes de l'art. 9 § 3 CED, «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Aucune prétention directe à l'octroi d'une autorisation de droit des étrangers ne peut toutefois être déduite des dispositions de la CDE (ATF 126 II 377 consid. 5 ; 124 II 361 consid. 3b).![endif]&gt;![if&gt;</w:t>
      </w:r>
    </w:p>
    <w:p>
      <w:r>
        <w:rPr>
          <w:b/>
        </w:rPr>
        <w:t>E. 5</w:t>
      </w:r>
    </w:p>
    <w:p>
      <w:r>
        <w:t>En l’espèce, il est constant que les recourantes font ménage commun avec leur époux respectivement leur père, lequel est au bénéfice d’une autorisation de séjour. La question de l’effectivité de liens affectifs et économiques ne pose pas problème. Toutefois, comme retenu par la jurisprudence précitée, l’art. 8 CEDH n’emporte pas une obligation générale pour un État de respecter le choix par des immigrants de leur pays de résidence et d’autoriser le regroupement familial sur le territoire de ce pays, autrement dit ne consacre pas le droit de choisir l'endroit le plus approprié à la poursuite de la vie familiale. ![endif]&gt;![if&gt; Quant à l’art. 3 CDE, il ne saurait fonder une prétention directe à l'octroi ou au maintien d'une autorisation. S’agissant de l’intérêt supérieur des filles de la recourante à ne pas être séparées de leur père qui resterait en Suisse, il ne fonde comme ressortant également de la jurisprudence pas de prétention directe à l’octroi d’une autorisation de séjour. La recourante n’est arrivée en Suisse qu’en août 2020 et n’y travaille pas. Sa fille âgée de 11 ans est scolarisée en primaire depuis au plus tôt la rentrée scolaire 2020‑2021 et celle âgée de 4 ans ne l’est pas encore. L’intégration de ces enfants à cet âge et après un séjour d’un peu plus de trois ans n’est pas encore déterminante. Ces dernières ne devraient pas rencontrer de difficultés particulières pour s’adapter à leur nouvel environnement, accompagnées à tout le moins par leur mère si leur père choisissait de demeurer en Suisse. Ainsi c’est conformément au droit et sans abuser de son pouvoir d’appréciation que l’OCPM a refusé de délivrer des autorisations de séjour pour regroupement familial aux trois recourantes. C’est donc à juste titre que le TAPI a confirmé cette décision.</w:t>
      </w:r>
    </w:p>
    <w:p>
      <w:r>
        <w:rPr>
          <w:b/>
        </w:rPr>
        <w:t>E. 6.1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d'autorisation.![endif]&gt;![if&gt;</w:t>
      </w:r>
    </w:p>
    <w:p>
      <w:r>
        <w:rPr>
          <w:b/>
        </w:rPr>
        <w:t>E. 6.2</w:t>
      </w:r>
    </w:p>
    <w:p>
      <w:r>
        <w:t>En l’occurrence, dès lors qu'il a, à juste titre, refusé l’octroi d’une autorisation de séjour aux recourantes, l’intimé devait prononcer leur renvoi. Pour le surplus, les recourantes n'allèguent pas que le retour dans leur pays d’origine serait impossible, illicite ou inexigible au regard de l’art. 83 LEI, et le dossier ne laisse pas apparaître d’éléments qui tendraient à démontrer le contraire.![endif]&gt;![if&gt;</w:t>
      </w:r>
    </w:p>
    <w:p>
      <w:r>
        <w:rPr>
          <w:b/>
        </w:rPr>
        <w:t>E. 7</w:t>
      </w:r>
    </w:p>
    <w:p>
      <w:r>
        <w:t>Vu l’issue du litige, un émolument de CHF 400.- sera mis à la charge des recourantes, soit d’A______ qui agit pour son compte et celui de ses filles, et aucune indemnité de procédure ne sera allouée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