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A/3168/2021 vom 7. März 2023</w:t>
      </w:r>
    </w:p>
    <w:p>
      <w:r>
        <w:t>GE Cour de justice, 2023-03-07, FR</w:t>
      </w:r>
    </w:p>
    <w:p>
      <w:r>
        <w:rPr>
          <w:b/>
        </w:rPr>
        <w:t xml:space="preserve">Quelle: </w:t>
      </w:r>
      <w:r>
        <w:t>https://mcp.opencaselaw.ch/entscheid/ge_gerichte_A_3168_2021</w:t>
      </w:r>
    </w:p>
    <w:p>
      <w:r>
        <w:t>FR: GE_GERICHTE A/3168/2021 du 7 mars 2023</w:t>
      </w:r>
    </w:p>
    <w:p>
      <w:r>
        <w:t>IT: GE_GERICHTE A/3168/2021 del 7 marzo 2023</w:t>
      </w:r>
    </w:p>
    <w:p>
      <w:pPr>
        <w:pStyle w:val="Heading2"/>
      </w:pPr>
      <w:r>
        <w:t>Erwägungen</w:t>
      </w:r>
    </w:p>
    <w:p>
      <w:r>
        <w:rPr>
          <w:b/>
        </w:rPr>
        <w:t>E. 2</w:t>
      </w:r>
    </w:p>
    <w:p>
      <w:r>
        <w:t>![endif]&gt;![if&gt;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2.3).![endif]&gt;![if&gt;</w:t>
      </w:r>
    </w:p>
    <w:p>
      <w:r>
        <w:rPr>
          <w:b/>
        </w:rPr>
        <w:t>E. 2.2</w:t>
      </w:r>
    </w:p>
    <w:p>
      <w:r>
        <w:t>En l'espèce, la recourante indique seulement qu'elle souhaite être entendue pour faire connaître sa situation et l'évolution de celle-ci de vive voix. Elle ne précise pas en quoi cette audition irait au-delà des allégations contenues dans ses écritures ou des preuves écrites figurant au dossier, étant rappelé que le droit d'être entendu ne confère pas de droit à être entendu oralement, la procédure administrative étant en principe écrite (art. 18 LPA). Il ne sera dès lors pas donné suite à sa demande d'audition, et le grief de violation du droit d'être entendu sera écarté pour les mêmes motifs.![endif]&gt;![if&gt;</w:t>
      </w:r>
    </w:p>
    <w:p>
      <w:r>
        <w:rPr>
          <w:b/>
        </w:rPr>
        <w:t>E. 3</w:t>
      </w:r>
    </w:p>
    <w:p>
      <w:r>
        <w:t>Le litige porte sur la conformité au droit, d'une part, du refus de l'autorité intimée de préaviser favorablement le dossier de la recourante auprès du SEM pour l'octroi d'une autorisation de séjour pour cas individuel d'extrême gravité – la conclusion tendant à l'octroi d'une autorisation de séjour est ainsi irrecevable –, et d'autre part, du prononcé du renvoi de la recourante.![endif]&gt;![if&gt;</w:t>
      </w:r>
    </w:p>
    <w:p>
      <w:r>
        <w:rPr>
          <w:b/>
        </w:rPr>
        <w:t>E. 3.1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3.2</w:t>
      </w:r>
    </w:p>
    <w:p>
      <w:r>
        <w:t>Le 1 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 er janvier 2019 sont régies par le nouveau droit.![endif]&gt;![if&gt;</w:t>
      </w:r>
    </w:p>
    <w:p>
      <w:r>
        <w:rPr>
          <w:b/>
        </w:rPr>
        <w:t>E. 4</w:t>
      </w:r>
    </w:p>
    <w:p>
      <w:r>
        <w:t>La recourante affirme se trouver dans un cas individuel d'extrême gravité.![endif]&gt;![if&gt;</w:t>
      </w:r>
    </w:p>
    <w:p>
      <w:r>
        <w:rPr>
          <w:b/>
        </w:rPr>
        <w:t>E. 4.1</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Nicaragua.![endif]&gt;![if&gt;</w:t>
      </w:r>
    </w:p>
    <w:p>
      <w:r>
        <w:rPr>
          <w:b/>
        </w:rPr>
        <w:t>E. 4.2</w:t>
      </w:r>
    </w:p>
    <w:p>
      <w:r>
        <w:t>Aux termes de l'art. 30 al. 1 let. b LEI, il est possible de déroger aux conditions d'admission (art. 18 à 29 LEI) notamment dans le but de tenir compte des cas individuels d'une extrême gravité ou d'intérêts publics majeurs.![endif]&gt;![if&gt;</w:t>
      </w:r>
    </w:p>
    <w:p>
      <w:r>
        <w:rPr>
          <w:b/>
        </w:rPr>
        <w:t>E. 4.3</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4.4</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8c).![endif]&gt;![if&gt;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octobre 2022, n. 5.6.10 ; ATA/1025/2022 du 11 octobre 2022 consid. 4c).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4.5</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2b).![endif]&gt;![if&gt;</w:t>
      </w:r>
    </w:p>
    <w:p>
      <w:r>
        <w:rPr>
          <w:b/>
        </w:rPr>
        <w:t>E. 4.6</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7.2).![endif]&gt;![if&gt;</w:t>
      </w:r>
    </w:p>
    <w:p>
      <w:r>
        <w:rPr>
          <w:b/>
        </w:rPr>
        <w:t>E. 4.7</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En l’espèce, s’agissant du critère de la durée du séjour, la durée du séjour de la recourante en Suisse est aujourd'hui de bientôt dix ans, de sorte qu'il s'agit déjà d'une longue durée au sens de la jurisprudence. Toutefois, cette durée doit être relativisée dès lors que ledit séjour s'est entièrement déroulé dans l’illégalité ou au bénéfice d’une simple tolérance des autorités de migration. Ainsi, la durée de son séjour ne saurait être considérée comme déterminante, au regard de toutes les circonstances, pour la reconnaissance d’un cas d’extrême gravité.</w:t>
      </w:r>
    </w:p>
    <w:p>
      <w:r>
        <w:rPr>
          <w:b/>
        </w:rPr>
        <w:t>E. 4.8</w:t>
      </w:r>
    </w:p>
    <w:p>
      <w:r>
        <w:t>La recourante estime également pouvoir se prévaloir d’une intégration exceptionnelle.![endif]&gt;![if&gt; En Suisse, la recourante a travaillé dans l'économie domestique, notamment comme femme de ménage et garde-malade – même si l'on ignore quelles activités précises elle a déployées depuis 2020. S'il est louable, grâce à ces activités, que la recourante n'ait jamais émargé à l'aide sociale ni fait l'objet de poursuites, elles ne sont toutefois pas constitutives d'une ascension professionnelle remarquable, selon la jurisprudence constante, quel que soit le degré de satisfaction de ses employeurs, et ne l'ont pas conduite à acquérir des connaissances professionnelles spécifiques à la Suisse qu'elle ne pourrait mettre à profit dans un autre pays, en particulier son pays d'origine. Sur le plan social, elle met en avant ses relations amicales en Suisse. Cet élément, qui n'est au demeurant pas étayé, n'apparaît pas de nature à permettre de qualifier son intégration de particulièrement poussée au regard des années passées à Genève. Pour le reste, elle a passé la plus grande partie de sa vie au Nicaragua, dont toute son enfance, son adolescence et une partie déjà importante de sa vie d'adulte, années déterminantes pour le développement de sa personnalité. Elle en connaît la langue, les us et coutumes et y possède encore de la famille, puisqu'elle indique y avoir encore ses parents, quand bien même ceux-ci sont désormais âgés. Finalement, de retour dans son pays d'origine, la recourante, qui est en bonne santé, pourra faire valoir l'expérience professionnelle et éventuellement les connaissances linguistiques acquises en Suisse. La recourante se contente enfin de considérations toutes générales sur ses difficultés de réintégration en tant que femme seule, si bien que cet élément ne saurait à lui seul justifier une dérogation aux conditions d'admission.</w:t>
      </w:r>
    </w:p>
    <w:p>
      <w:r>
        <w:rPr>
          <w:b/>
        </w:rPr>
        <w:t>E. 4.9</w:t>
      </w:r>
    </w:p>
    <w:p>
      <w:r>
        <w:t>Dans ces circonstances, il ne ressort pas de la globalité du dossier que les difficultés auxquelles la recourante devrait faire face en cas de retour dans son pays d’origine seraient pour elle plus graves que pour la moyenne des personnes étrangères, en particulier des ressortissants du Nicaragua retournant dans leur pays.![endif]&gt;![if&gt;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L'autorité intimée était ainsi fondée à refuser de donner une suite positive à sa demande d'autorisation de séjour et l'instance précédente à confirmer ledit refus.</w:t>
      </w:r>
    </w:p>
    <w:p>
      <w:r>
        <w:rPr>
          <w:b/>
        </w:rPr>
        <w:t>E. 5</w:t>
      </w:r>
    </w:p>
    <w:p>
      <w:r>
        <w:t>Selon l'art. 64 al. 1 let. c LEI, toute personne étrangère dont l'autorisation est refusée, révoquée ou qui n'est pas prolongée après un séjour autorisé est renvoyée. La décision de renvoi est assortie d'un délai de départ raisonnable (art. 64d al. 1 LEI).![endif]&gt;![if&gt;</w:t>
      </w:r>
    </w:p>
    <w:p>
      <w:r>
        <w:rPr>
          <w:b/>
        </w:rPr>
        <w:t>E. 5.1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5.2</w:t>
      </w:r>
    </w:p>
    <w:p>
      <w:r>
        <w:t>En l'espèce, aucun élément du dossier ne permet de retenir que l'exécution du renvoi de la recourante ne serait pas possible, licite ou ne pourrait être raisonnablement exigée.![endif]&gt;![if&gt; Mal fondé, le recours sera rejeté.</w:t>
      </w:r>
    </w:p>
    <w:p>
      <w:r>
        <w:rPr>
          <w:b/>
        </w:rPr>
        <w:t>E. 6</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