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A/3166/2014 vom 29. Juni 2015</w:t>
      </w:r>
    </w:p>
    <w:p>
      <w:r>
        <w:t>GE Cour de justice, 2015-06-29, FR</w:t>
      </w:r>
    </w:p>
    <w:p>
      <w:r>
        <w:rPr>
          <w:b/>
        </w:rPr>
        <w:t xml:space="preserve">Quelle: </w:t>
      </w:r>
      <w:r>
        <w:t>https://mcp.opencaselaw.ch/entscheid/ge_gerichte_A_3166_2014</w:t>
      </w:r>
    </w:p>
    <w:p>
      <w:r>
        <w:t>FR: GE_GERICHTE A/3166/2014 du 29 juin 2015</w:t>
      </w:r>
    </w:p>
    <w:p>
      <w:r>
        <w:t>IT: GE_GERICHTE A/3166/2014 del 29 giugno 2015</w:t>
      </w:r>
    </w:p>
    <w:p>
      <w:pPr>
        <w:pStyle w:val="Heading2"/>
      </w:pPr>
      <w:r>
        <w:t>Erwägungen</w:t>
      </w:r>
    </w:p>
    <w:p>
      <w:r>
        <w:rPr>
          <w:b/>
        </w:rPr>
        <w:t>E. 0</w:t>
      </w:r>
    </w:p>
    <w:p>
      <w:r>
        <w:t>%</w:t>
      </w:r>
    </w:p>
    <w:p>
      <w:r>
        <w:rPr>
          <w:b/>
        </w:rPr>
        <w:t>E. 2</w:t>
      </w:r>
    </w:p>
    <w:p>
      <w:r>
        <w:t>% 0 % 5.7 Divers 0-50% Soins infirmiers/entretien plantes et jardin/animaux domestiques/confection vêtements/activités d'utilité publique/formation complémentaire Exigibilité 0 % 0 % 0 % 0 % 0 % 0 % Total du champ d'activité 100 % Total de l'exigibilité retenue 26 % Total-empêchement pondéré sans exigibilité 26 % Total – empêchement pondéré avec exigibilité 0 % La conduite du ménage (5.1), avant l’atteinte, était assumée essentiellement par l’épouse et la fille aînée de l’assuré ; c’était toujours le cas depuis l’atteinte. Avant l’atteinte, les repas étaient généralement préparés par l’épouse de l’intéressé, avec l’aide de celui-ci pour laver la salade, couper les légumes, cuisiner le riz, mettre la table et faire la vaisselle. En l’absence de son épouse, l’assuré et sa fille préparaient le repas. Depuis l’atteinte, l’assuré n’était plus capable de préparer entièrement le repas lorsque son épouse était absente. Il coupait les légumes et faisait la vaisselle de la main gauche, mais plus lentement et sans parvenir à nettoyer certaines casseroles. Il arrivait à ouvrir les bouteilles et les boîtes de conserves grâce à des astuces et sollicitait de l’aide en cas de besoin. Avant l’atteinte, l’entretien du logement (5.3) était effectué en grande partie par l’épouse, mais l’assuré l’aidait à ranger, enlever la poussière, laver les vitres, faire les grands nettoyages et, parfois, passer la serpillère. Depuis l’atteinte, l’assuré contribuait toujours aux rangements et à l’époussetage, mais rencontrait des difficultés pour nettoyer les vitres. En outre, il ne parvenait plus du tout à passer la serpillère ou à déplacer des meubles lors de grands nettoyages. Avant l’atteinte, les emplettes et courses diverses (5.4) étaient assumées par le couple, l’assuré conduisant son épouse deux fois par mois pour faire les grandes courses, et se chargeant de petites emplettes si nécessaire. Il portait les choses lourdes avec la main gauche et pouvait porter des objets légers avec sa main droite. Il s’occupait des paiements, tandis que son épouse gérait la plupart des courriers et factures. Depuis l’atteinte, l’assuré continuait à faire des emplettes et des paiements mais ne pouvait plus conduire, de sorte que le couple faisait désormais ses courses en bus, assisté de ses deux aînés. L’assuré portait les commissions exclusivement avec sa main gauche et avait besoin d’aide pour écrire ses courriers. Avant l’atteinte, l’assuré participait à la lessive et à l’entretien des vêtements (5.5) en aidant son épouse à trier le linge, le mettre en machine, le plier, le repasser, et parfois le faire sécher. Depuis l’atteinte, il continuait à aider son épouse mais sollicitait l’aide de ses enfants pour sortir les grandes pièces de linge mouillé, les étendre et les plier. Avant l’atteinte, l’assuré et son épouse s’occupaient conjointement de l’éducation des enfants, de leurs devoirs, et les accompagnaient à tour de rôle à leurs activités sportives. Depuis l’atteinte, les époux assumaient toujours ensemble l’éducation, mais l’assuré était devenu irritable en raison de ses douleurs. Il accompagnait parfois ses garçons à des matchs de football le week-end. L’enquêtrice a précisé que l’assuré, selon ses dires, aurait continué de travailler à 50% s’il n’avait pas subi d’atteinte à sa santé. Il avait d’ailleurs travaillé à 50% depuis août 2008 et s’était inscrit au chômage à 50% en novembre 2011. Son épouse, femme au foyer, venait de débuter un stage dans un EMS. Le couple habitait avec ses six enfants, âgés de 14 à 26 ans. En additionnant les empêchements pondérés par champs d’activités, l’enquêtrice obtenait des empêchements totaux de 26%. Après déduction d’une aide exigible de l’épouse et des enfants évaluée à 26%, elle aboutissait à des empêchements de 0% dans la sphère ménagère. 13.    Par décision formelle du 26 septembre 2014, l’OAI a nié le droit de l’assuré à toute prestation.![endif]&gt;![if&gt; L’OAI a considéré que, sans atteinte à sa santé, l’assuré aurait continué à exercer une activité professionnelle à 50%. Se fondant sur l’enquête du 7 juillet 2014, il a retenu des empêchements de 0% dans la sphère ménagère. Faisant siennes les conclusions du SMR, il a conclu à une capacité de travail de 100% dans une activité adaptée depuis 1 er février 2014 et à un degré d’invalidité de 7% dans la sphère professionnelle. Globalement, l’OAI a estimé le degré d’invalidité à 3,5% ([50% x 7%] + [50% x 0%]), taux insuffisant pour ouvrir le droit à une rente d’invalidité et à des mesures d’ordre professionnel. 14.    Par acte du 17 octobre 2014, l’assuré a interjeté recours auprès de la Cour de céans en concluant, sous suite de dépens, à l’annulation de la décision litigieuse et au renvoi de la cause à l’OAI afin que celui-ci détermine sa capacité de travail et lui accorde des mesures de réinsertion professionnelle.![endif]&gt;![if&gt; En premier lieu, le recourant reproche à l’intimé une instruction insuffisante. Il relève que la décision litigieuse se fonde sur un rapport du Dr D______ qui ne s’exprime pas sur le taux d’activité et le rendement exigibles dans une activité adaptée, pas plus que sur le type d’activité qu’il pourrait exercer. En outre, il précise avoir subi une troisième intervention chirurgicale en mars 2014, postérieurement au dernier rapport du Dr D______. En second lieu, il souligne que son manque d’expérience en dehors du secteur du nettoyage affaiblit ses perspectives d’engagement, ce qui justifie selon lui l’octroi de mesures d’orientation et de réinsertion professionnelle. En troisième lieu, il soutient que l’intimé aurait dû retenir un statut d’actif plutôt qu’un statut mixte. À cet égard, il fait valoir que c’est seulement dès 2006 que son état de santé l’a contraint à travailler à 50% ; auparavant, il travaillait à 100%. Il conteste avoir déclaré à l’enquêtrice qu’il se serait consacré à 50% à la tenue du ménage s’il avait été en bonne santé. S’agissant enfin de l’enquête ménagère, il reproche à l’enquêtrice d’avoir retenu des empêchements de 0%, en contradiction avec les chiffres articulés dans les divers champs d’activités. 15.    Invité à se déterminer, l’intimé, dans sa réponse du 24 novembre 2014, a conclu au rejet du recours.![endif]&gt;![if&gt; S’appuyant sur le rapport du Dr D______ de février 2014, il considère que l’état de santé du recourant s’est amélioré suite à sa dernière opération, si bien que ce dernier est désormais capable de travailler à 100% dans des activités telles que réceptionniste, gardien de musée ou surveillant de parking. Quant au statut à retenir, il relève que le recourant a travaillé à temps partiel jusqu’à la survenance de son incapacité de travail, en février 2013, comme en témoignent les revenus mentionnés dans son extrait de compte individuel AVS (CI) depuis 1993. Il ajoute que le recourant ne peut se prévaloir d’une atteinte à la santé antérieure à son entrée en Suisse, puisqu’un assuré entré invalide dans le pays ne remplit pas les conditions d’assurance prévues par la loi. Par ailleurs, il lui paraît conforme à la jurisprudence de retenir que les six enfants du recourant et son épouse - sans activité lucrative – peuvent se charger d’une partie des tâches ménagères. 16.    Le recourant a répliqué le 27 janvier 2015.![endif]&gt;![if&gt; Il répète que ce n’est qu’à compter de 2006 que son état de santé s’est détérioré et qu’il n’a plus été en mesure de travailler à plus de 50%. Il fait remarquer qu’il a travaillé pour des sociétés de placement qui lui confiaient des missions temporaires et en tire la conclusion que l’on ne saurait dès lors inférer des revenus ressortant du rassemblement de ses CI AVS qu’il a choisi de consacrer la moitié de son temps à la tenue du ménage. Enfin, il fait valoir que les professions de réceptionniste, gardien de musée et surveillant de parking ne sont pas mentionnées dans la décision querelléeet qu’une pleine capacité de gain ne saurait être admise, eu égard à son amyotrophie et aux importantes limitations fonctionnelles qui l’empêchent d’utiliser son bras droit. 17.    Cette écriture a été transmise à l’intimé et la cause a été gardée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au plus tôt à 2006. Par conséquent, le droit éventuel aux prestations doit être examiné au regard des dispositions de la LPGA et des dispositions de la LAI consécutives à la 4ème révision de cette loi, puis en fonction des modifications consécutives aux révisions 5 et 6a de cette loi, dans la mesure de leur pertinence (ATF 130 V 445 et les références, voir également ATF 130 V 329 ). 3.        Le délai de recours est de 30 jours (art. 60 al. 1 LPGA). Interjeté dans la forme et le délai prévus par la loi, le recours est recevable (art. 56 à 61 LPGA).![endif]&gt;![if&gt; 4.        Le litige porte sur le droit du recourant à des prestations de l’assurance-invalidité, singulièrement sur sa capacité de travail et le choix de la méthode d’évaluation de l’invalidité.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![endif]&gt;![if&gt;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Il convient en premier lieu d’examiner quel statut reconnaître au recourant. ![endif]&gt;![if&gt; Celui-ci se prévaut d’un statut d’actif, tandis que l’intimé considère qu’en bonne santé, il n’aurait exercé son activité professionnelle qu’à 50% et consacré le reste de son temps à la tenue du ménage. S’appuyant sur l’extrait de compte individuel AVS et le rapport de l’ex-employeur, l’intimé soutient que le recourant a travaillé à temps partiel dès 1993 et notamment à 50% durant ses trois dernières années d’activité professionnelle. À titre préalable, on rappellera que le recourant, âgé de 52 ans lors du prononcé de la décision litigieuse, a terminé ses études à seize ans, à l’issue de sa scolarité obligatoire. Il a travaillé en Somalie comme réceptionniste de 1981 à 1990, puis en Suisse comme nettoyeur dès 1993 pour le compte de divers employeurs. De son union avec son épouse sont issus six enfants âgés, de 14, 15, 17, 19, 24 et 26 ans, qui habitent avec leurs parents. Les deux aînés sont financièrement indépendants et les quatre autres perçoivent des prestations de l’Hospice général. L’épouse est « femme au foyer » et dépend également de l’aide sociale. La Cour de céans constate que, selon les renseignements fournis par le dernier employeur, le recourant a travaillé en moyenne 27 h. /sem. en 2009, 25 h. /sem. en 2010, et 22,5 h. /sem. en 2011, ce qui correspond à des taux d’occupation respectifs de 64%, 60% et 54% par rapport à un plein temps de 42 heures. Pour les années antérieures, notamment de 2006 à 2008, on ignore quel a été exactement l’horaire de travail de l’intéressé, mais il résulte de l’extrait de son compte individuel AVS qu’il a bénéficié de salaires sensiblement plus élevés qu’en 2009, ce qui suggère que son taux d’occupation était plus élevé, vraisemblablement de 80% en moyenne pendant la période en question (2006 : CHF 34'436.– ; 2007 : 38'987.– ; 2008 : 36'181.– ; 2009 : 29'428.– ; 2010 : 28'802.– ; 2011 : 24'616.–). Partant, on ne saurait inférer du rapport de l’ex-employeur et de l’extrait de compte individuel AVS du recourant qu’en bonne santé, il n’aurait consacré que 50% de son temps à son activité professionnelle. Au contraire, ces documents démontrent que, bien qu’atteint dans sa santé, ce dernier a continué à exercer une activité lucrative, parfois quasiment à plein temps, ce qui atteste de sa motivation à travailler et vient étayer l’allégation qu’en bonne santé, il se serait pleinement consacré à son activité professionnelle. En outre, il ressort du rapport d’enquête du 7 juillet 2014 qu’avant la survenance de l’atteinte à la santé, c’était l’épouse du recourant qui accomplissait la plupart des travaux ménagers, ce qui tend à démontrer que le couple avait adopté une répartition des tâches « traditionnelle », dans laquelle l’un des époux exerce une activité professionnelle tandis que l’autre supporte l’essentiel des tâches ménagères. S’ajoute à ces considérations le fait que le recourant est encore relativement jeune, qu’il vit avec son épouse, sans activité lucrative, et qu’il assume l’entretien de quatre de ses enfants. Au vu de l’ensemble de ces circonstances, il paraît vraisemblable qu’en bonne santé, le recourant aurait – ainsi qu’il l’allègue – préféré travailler à plein temps afin de couvrir les dépenses du ménage. Le fait que le recourant ait déclaré à l’enquêtrice qu’il « aurait continué dans son activité habituelle au même taux que celui occupé au moment de l’atteinte à la santé, soit 50% » ne saurait justifier l’admission d’un statut mixte. En effet, c’est en 2011 que le recourant a travaillé à mi-temps, de sorte que la déclaration précitée doit être comprise en ce sens que, sans une aggravation subséquente de son état de santé en 2011, il aurait continué de travailler à 50%. Selon toute vraisemblance, le recourant n’exprimait pas ce qu’il aurait souhaité faire s’il n’avait pas subi d’atteinte au bras en 1991. En tout état de cause, selon la jurisprudence, le fait qu'une personne non atteinte dans sa santé décide de travailler à temps partiel est sans influence sur le choix de la méthode d'évaluation de l'invalidité et n'entraîne donc pas l'application de la méthode mixte, sauf si cette personne consacre à ses travaux habituels le temps libre supplémentaire dont elle dispose ainsi (ATF 131 V 51 consid. 5.2 p. 54 ; arrêt du Tribunal fédéral 9C_472/2011 , consid. 4). Or, dans le cas particulier, rien ne permet de considérer que le recourant aurait, par hypothèse, délibérément réduit son temps de travail afin de consacrer son temps libre aux tâches ménagères. Pour tous les motifs qui précèdent, c’est bel et bien un statut d’actif qui doit être retenu. 10.    Il convient à présent d’évaluer la capacité de travail du recourant et, pour ce faire, d’examiner la valeur probante des rapports versés au dossier. ![endif]&gt;![if&gt; Se fondant sur le rapport du Dr D______ du 13 février 2014, l’intimé a retenu une capacité de travail de 100% dans une activité adaptée dès février 2014, ce que le recourant conteste, en faisant valoir que son médecin ne s’est pas exprimé sur le taux d’activité et le rendement qui pourraient être exigés de lui dans une activité adaptée. La chambre de céans constate que les rapports succincts du Dr D______ des 25 avril 2013 et 13 février 2014 ne mentionnent qu’une anamnèse sommaire, ne précisent pas les examens sur lesquels ils se fondent et ne contiennent aucune conclusion, a fortiori motivée, s’agissant du taux d’activité exigible dans une activité adaptée et de la date à partir de laquelle une telle activité pourrait être exercée. Partant, une pleine valeur probante ne saurait leur être reconnue. L’intimé a obtenu un rapport du 21 janvier 2013 établi par le Dr E______, médecin conseil de l’OCE, concluant à une pleine capacité de travail dès le 1 er février 2013. À nouveau, on constate que ce rapport de quelques lignes ne mentionne ni les examens sur lesquels il se fonde, ni l’anamnèse, ni les plaintes de l’assuré. Le médecin ne motive pas ses conclusions et n’expose au demeurant pas précisément quelles sont les limitations. Il n’y a donc pas lieu de se fonder sur le rapport du Dr E______. Enfin, figure au dossier un bref avis du SMR, lequel doit être qualifié de rapport destiné à la prise d’une décision interne ne remplaçant pas un examen médical spécialisé. Ce document ne répond à l’évidence pas non plus aux réquisits jurisprudentiels relatifs à la valeur probante. Par ailleurs, la chambre de céans constate que l’intimé n’a pas instruit la question d’une éventuelle évolution de la capacité de travail suite à la dernière opération subie par le recourant, à la fin du mois de mars 2014, bien que ce dernier l’ait évoquée à diverses reprises (cf. notamment rapport d’enquête ménagère du 7 juillet 2014, p. 1). En définitive, force est de constater que l’intimé a constaté les faits de manière sommaire, sur la base d’un rapport succinct, voire laconique, du Dr D______, lequel ne chiffre pas la capacité de travail dans une activité adaptée et ne renseigne pas non plus sur l’évolution de l’état de santé depuis la dernière opération chirurgicale. Dans ces circonstances, la chambre de céans n’est pas en mesure de se prononcer définitivement sur la capacité de travail, de sorte qu’un renvoi du dossier à l’intimé pour instruction complémentaire se justifie. Cette instruction sera mise en œuvre par une expertise confiée à un médecin indépendant et spécialisé en chirurgie de la main, selon la procédure prévue à l’art. 44 LPGA. 11.    Vu ce qui précède, le recours est partiellement admis, la décision litigieuse annulée et la cause renvoyée à l’intimé, à charge pour celui-ci de mettre en œuvre l’expertise précitée, puis de déterminer le degré d’invalidité sur la base de la méthode générale de comparaison des revenus, en tenant compte d’un statut d’actif, et de rendre une nouvelle décision portant sur le droit à des mesures d’ordre professionnel et à une rente. ![endif]&gt;![if&gt; Le recourant, représenté par un conseil, obtient gain de cause, de sorte qu’il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