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A/3158/2024 vom 29. September 2025</w:t>
      </w:r>
    </w:p>
    <w:p>
      <w:r>
        <w:t>GE Cour de justice, 2025-09-29, FR</w:t>
      </w:r>
    </w:p>
    <w:p>
      <w:r>
        <w:rPr>
          <w:b/>
        </w:rPr>
        <w:t xml:space="preserve">Quelle: </w:t>
      </w:r>
      <w:r>
        <w:t>https://mcp.opencaselaw.ch/entscheid/ge_gerichte_A_3158_2024</w:t>
      </w:r>
    </w:p>
    <w:p>
      <w:r>
        <w:t>FR: GE_GERICHTE A/3158/2024 du 29 septembre 2025</w:t>
      </w:r>
    </w:p>
    <w:p>
      <w:r>
        <w:t>IT: GE_GERICHTE A/3158/2024 del 29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degré d’invalidité du recourant, plus précisément sur le point de savoir s’il s’est modifié dans une mesure déterminante pour le droit à la rente depuis la décision de l’intimé du 16 mars 2021.</w:t>
      </w:r>
    </w:p>
    <w:p>
      <w:r>
        <w:rPr>
          <w:b/>
        </w:rPr>
        <w:t>E. 3</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4</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Selon la jurisprudence constante du Tribunal fédéral, un tel cas d'exception se présente par exemple lorsque le poste de travail que l'assuré occupait avant la survenance de l'atteinte à la santé n'existe plus au moment de l'évaluation de l'invalidité, ou lorsqu'il n'aurait pas pu conserver son poste en raison des difficultés économiques, en cas de faillite ou de restructuration de l'entreprise (arrêt du Tribunal fédéral 8C_746/2023 du 7 juin 2024 consid. 4.2).</w:t>
      </w:r>
    </w:p>
    <w:p>
      <w:r>
        <w:rPr>
          <w:b/>
        </w:rPr>
        <w:t>E. 5.2</w:t>
      </w:r>
    </w:p>
    <w:p>
      <w:r>
        <w:t>Pour déterminer le revenu d'invalide de l'assuré, il faut en l'absence d'un revenu effectivement réalisé se référer aux données salariales, telles qu'elles résultent des Enquêtes suisses sur la structure des salaires (ESS) (ATF 148 V 174 consid. 6.2). L’art. a26 bis al. 3 du règlement sur l’assurance-invalidité du 17 janvier 1961 (RAI - RS 831.201), dans sa teneur du 1 er janvier 2022 au 31 décembre 2023, disposait que si, du fait de l’invalidité, les capacités fonctionnelles de l’assuré au sens de l’art. 49 al. 1 bis ,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w:t>
      </w:r>
    </w:p>
    <w:p>
      <w:r>
        <w:rPr>
          <w:b/>
        </w:rPr>
        <w:t>E. 5.3</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arrêt du Tribunal fédéral 8C_497/2024 du 8 avril 2025 consid. 5.1.1).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w:t>
      </w:r>
    </w:p>
    <w:p>
      <w:r>
        <w:rPr>
          <w:b/>
        </w:rPr>
        <w:t>E. 6</w:t>
      </w:r>
    </w:p>
    <w:p>
      <w:r>
        <w:t>L’art. 17 LPGA dans sa teneur en vigueur depuis le 1 er janvier 2022 dispose que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(al. 2).</w:t>
      </w:r>
    </w:p>
    <w:p>
      <w:r>
        <w:rPr>
          <w:b/>
        </w:rPr>
        <w:t>E. 6.1</w:t>
      </w:r>
    </w:p>
    <w:p>
      <w:r>
        <w:t>Tout changement dans la situation concrète depuis l’octroi de la rente qui est de nature à modifier le droit justifie une révision de la rente (arrêt du Tribunal fédéral 8C_142/2023 du 18 septembre 2023 consid. 3.3.2). La rente peut être révisée non seulement en cas de modification sensible de l'état de santé, mais aussi lorsque celui-ci est resté en soi le même, mais que ses conséquences sur la capacité de gain ont subi un changement important (ATF 147 V 167 consid. 4.1).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8C_99/2025 du 19 août 2025 consid. 4.2).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 consid. 4.1 ; arrêt du Tribunal fédéral 9C_486/2022 du 17 août 2023 consid. 3.2).</w:t>
      </w:r>
    </w:p>
    <w:p>
      <w:r>
        <w:rPr>
          <w:b/>
        </w:rPr>
        <w:t>E. 6.2</w:t>
      </w:r>
    </w:p>
    <w:p>
      <w:r>
        <w:t>Aux termes de l’art. 87 al. 2 RAI, lorsqu’une demande de révision est déposée, celle-ci doit établir de façon plausible que l’invalidité, l’impotence ou l’étendue du besoin de soins ou du besoin d’aide découlant de l’invalidité de l’assuré s’est modifiée de manière à influencer ses droits. Lorsque l’administration est entrée en matière sur une nouvelle demande, il y a lieu de distinguer deux étapes. La première consiste à analyser s’il existe un motif de révision déterminant pour le droit à la rente. Si tel n’est pas le cas, l’examen est clos. Il convient de s’en tenir à la situation juridique actuelle, et une nouvelle évaluation de l’invalidité n’est pas nécessaire. Si un motif de révision est démontré, il y a en revanche lieu de procéder à un nouvel examen du droit à la rente (Thomas FLÜCKIGER, in Basler Kommentar, Allgemeiner Teil des Sozialversicherungs-rechts , 2020, n. 18 ad art. 17 LPGA). L’examen matériel en cas de nouvelle demande de prestations au sens de l’art. 87 al. 2 RAI s’opère de manière analogue à celui d'un cas de révision au sens de l'art. 17 al. 1 LPGA (arrêt du Tribunal fédéral 9C_899/2015 du 4 mars 2016 consid. 4.1). Ainsi, en cas d’entrée en matière sur une demande de révision, l’autorité doit comparer les circonstances prévalant lors de la nouvelle décision avec celles existant lors de la dernière décision entrée en force et reposant sur un examen matériel du droit à la rente pour déterminer si une modification du taux d'invalidité justifiant la révision du droit est intervenue (arrêt du Tribunal fédéral 9C_573/2013 du 29 juillet 2014 consid. 2.2). Lorsqu’il existe un motif de révision, le droit à la rente doit être examiné sous tous ses aspects factuels et juridiques, sans référence à des évaluations antérieures de l'invalidité (arrêt du Tribunal fédéral 8C_289/2019 du 18 septembre 2019 consid. 3.1). Dans un tel cas, le degré d'invalidité doit être fixé à nouveau sur la base d'un état de fait établi de manière correcte et complète (arrêt du Tribunal fédéral 9C_718/2016 du 14 février 2017 consid. 6.2). L’examen du droit à la rente s’effectue au regard du droit en vigueur au moment de la révision (Margit MOSER-SZELESS / Jenny CASTELLA in Commentaire romand LPGA, 2 e éd. 2025, n. 28 ad art. 17 LPGA).</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En 2015,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En l’espèce, l’intimé est entré en matière sur la demande de prestations, de sorte qu’il se justifie d’examiner au fond si une aggravation s’est produite depuis la décision du 16 mars 2021, laquelle se fondait sur les conclusions de l’expertise du CEMEDEX. On observera que dans la présente procédure, les critiques du recourant portent essentiellement sur le rapport des experts de ce centre, dont il conteste la validité. Or, de tels griefs ne sauraient être pris en compte dans le cadre de sa nouvelle demande. En effet, en raison de la force obligatoire de la décision (initiale) concernant le droit à une rente, un nouvel examen de ce droit n’a pas à être effectué aussi longtemps que les faits pertinents qui ont fait l’objet d’une appréciation à l’époque ne se sont pas modifiés (MOSER-SZELESS / CASTELLA, op. cit ., n. 46 ad art. 17 LPGA). En d’autres termes, la révision du droit à la rente au sens de l’art. 17 LPGA ne peut pas conduire à une nouvelle appréciation des éléments sur lesquels repose la décision initiale. Si le recourant entendait contester la valeur probante de l’expertise du 9 décembre 2020, il lui appartenait de le faire valoir en interjetant recours à l’encontre de la décision rendue sur la base de cette expertise ( cf . dans un cas similaire arrêt du Tribunal fédéral 9C_629/2020 du 6 juillet 2021 consid. 4.2). Par surabondance, il convient de souligner que ladite expertise satisfait aux réquisits jurisprudentiels rappelés ci-dessus. Les médecins et la neuropsychologue du CEMEDEX ont en effet pris connaissance de l’intégralité du dossier du recourant, dont ils ont rapporté les plaintes. Ils ont également établi une anamnèse fouillée. Leurs status cliniques sont détaillés, leurs diagnostics clairs et leurs conclusions motivées. Le Dr G______ s’est en outre prononcé de manière convaincante sur les indicateurs de gravité applicables. Sur le plan neuropsychologique en particulier, Mme I______ a relaté des résultats non proportionnels à ceux attendus, marqués par de nombreuses incohérences dans un contexte de réponses inhabituelles et de performances atypiques, avec notamment des temps de réaction visuels extrêmement ralentis qui, s’ils étaient véridiques, ne permettraient pas de conduire de manière sûre – alors que le recourant conduit. Aux tests de mémoire, les résultats étaient ceux d'une personne amnésique qui serait totalement incapable de vivre seule et de venir seule de Genève au centre d’expertise à Fribourg en transports publics en se présentant à l'heure au rendez-vous. Les résultats aux tests de validation des performances confirmaient l'absence de participation, dès lors qu’ils correspondaient à un dysfonctionnement neurocognitif simulé certain au sens de la littérature. Pour ces raisons, les résultats du bilan neuropsychologique ne pouvaient pas être considérés comme valides. L’expert psychiatre a du reste lui aussi décrit des atteintes cognitives surévaluées, qu'il mettait en rapport avec une tendance à la victimisation. Force est de constater que les atteintes mises en avant par la Dre C______ dans ses rapports à l’appui de la nouvelle demande de prestations ne sont pas nouvelles, mais sont celles déjà signalées dans ses premiers rapports, dont les experts ont tenu compte dans l’appréciation de la capacité de travail du recourant. Cette psychiatre a notamment confirmé le trouble dépressif récurrent dans son rapport du 28 janvier 2024, que le Dr G______ a également retenu et en raison duquel il a conclu à une capacité de travail diminuée. Elle a pour le surplus admis qu’il n’y avait pas de pathologie psychiatrique nouvelle dans son rapport du 28 avril 2023, dans lequel elle décrit notamment l’évolution en 2019 et les complications somatiques que le recourant aurait rencontrées, soit des éléments antérieurs à la première décision de l’intimé, et qui sortent au demeurant de son domaine de compétence. Si on peut concevoir que l’apparition d’un diabète chez le fils du recourant peut entraîner une inquiétude chez celui-ci, la Dre C______ ne décrit pas dans son rapport du 28 janvier 2024 de symptômes nouveaux relevant d’une maladie en lien avec cette découverte. Elle a certes mentionné dans ce même rapport que l’assuré se plaignait d’un manque d’énergie, d’un épuisement, avec un sommeil très perturbé par un endormissement tardif, biaisé par de longues ruminations. Ces plaintes ne sont cependant pas nouvelles. Le manque d’énergie a déjà été rapporté par cette psychiatre le 15 mai 2020. Les troubles du sommeil ont été rapportés au Dr G______ dans le cadre de l’évaluation MADRS par cet expert. Quant aux difficultés liées au fait que les compétences du recourant dans le domaine informatique seraient obsolètes, relatées dans le rapport du 24 janvier 2025 par la psychiatre traitante, elles sont étrangères à l’invalidité. Enfin, on relève une incohérence dans ce dernier rapport, puisqu’il indique que le trouble dépressif récurrent qui entraînerait une pleine incapacité de travail serait en rémission. Au plan somatique, la Dre B______ n’a pas non plus fait état d’une pathologie nouvelle, les atteintes mentionnées dans son rapport du 25 avril 2024 étant connues, et leur incidence sur la capacité de travail ayant déjà été analysée par les experts du CEMEDEX. Il faut aussi noter que ce rapport énumère uniquement des diagnostics d’ordre psychique avec incidence sur la capacité de travail. On ajoutera encore s’agissant des observations des maîtres professionnels lors des stages, dont le recourant se prévaut pour démontrer la gravité de ses troubles cognitifs, que les appréciations des médecins l'emportent sur les constatations qui peuvent être faites à l'occasion de tels stages, susceptibles d'être influencées par des éléments subjectifs liés au comportement de l'assuré pendant le stage (arrêt du Tribunal fédéral 9C_291/2023 du 30 janvier 2024 consid. 5.3). On notera du reste que le rapport des EPI révèle que le recourant a lui-même mis un terme à ce stage, car il se disait lassé, estimant avoir fait le tour de ce qu’il pouvait apporter, et très fatigué. Ses conclusions quant à une capacité de travail résiduelle inexploitable ne reposent ainsi pas sur des éléments médicaux objectifs, mais sur l’appréciation par le recourant de son aptitude à poursuivre le stage. Compte tenu de ce qui précède, aux plans psychique et somatique, on ne peut retenir d’aggravation de l’état de santé du recourant depuis la décision de l’intimé du 16 mars 2021. Toutefois, il existe bien un élément nouveau, soit le diagnostic de trouble neurocognitif posé par les spécialistes des HUG en avril 2023. Ceux-ci ne se sont certes pas expressément prononcés sur l’incidence sur la capacité de travail de ce trouble, mais ils ont conclu à une capacité fonctionnelle limitée dans les activités à niveau d’exigence élevée. On ne peut ainsi exclure que l’activité d’informaticien – exigible à 70% selon la décision du 16 mars 2021 – ne soit plus possible, ou à tout le moins à un taux plus bas. Le SMR ne donne aucune explication sur les motifs qui lui permettent d’écarter d’éventuelles répercussions de ce trouble sur la capacité de travail résiduelle dans l’activité d’informaticien qu’il avait retenue dans son avis du 21 décembre 2020. Dans ces conditions, il convient de renvoyer la cause à l’intimé, à charge pour celui-ci d’instruire plus avant le volet neuropsychologique, soit en sollicitant des renseignements complémentaires auprès de l’unité de neuropsychologie des HUG sur la capacité de travail sur ce plan tant dans l’activité habituelle que dans une activité adaptée, soit en mettant en œuvre un nouvel examen neuropsychologique. Il appartiendra ensuite à l’intimé de procéder cas échéant à un calcul du degré d’invalidité, avant de rendre une nouvelle décision sur le droit à des mesures d’ordre professionnel et à la rente.</w:t>
      </w:r>
    </w:p>
    <w:p>
      <w:r>
        <w:rPr>
          <w:b/>
        </w:rPr>
        <w:t>E. 9</w:t>
      </w:r>
    </w:p>
    <w:p>
      <w:r>
        <w:t>Le recours est partiellement admis. L’intimé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