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A/3157/2014 vom 24. Februar 2015</w:t>
      </w:r>
    </w:p>
    <w:p>
      <w:r>
        <w:t>GE Cour de justice, 2015-02-24, FR</w:t>
      </w:r>
    </w:p>
    <w:p>
      <w:r>
        <w:rPr>
          <w:b/>
        </w:rPr>
        <w:t xml:space="preserve">Quelle: </w:t>
      </w:r>
      <w:r>
        <w:t>https://mcp.opencaselaw.ch/entscheid/ge_gerichte_A_3157_2014</w:t>
      </w:r>
    </w:p>
    <w:p>
      <w:r>
        <w:t>FR: GE_GERICHTE A/3157/2014 du 24 février 2015</w:t>
      </w:r>
    </w:p>
    <w:p>
      <w:r>
        <w:t>IT: GE_GERICHTE A/3157/2014 del 24 febbraio 2015</w:t>
      </w:r>
    </w:p>
    <w:p>
      <w:pPr>
        <w:pStyle w:val="Heading2"/>
      </w:pPr>
      <w:r>
        <w:t>Erwägungen</w:t>
      </w:r>
    </w:p>
    <w:p>
      <w:r>
        <w:rPr>
          <w:b/>
        </w:rPr>
        <w:t>E. 1</w:t>
      </w:r>
    </w:p>
    <w:p>
      <w:r>
        <w:t>ère Chambre En la cause Madame A______, domiciliée à GENÈVE, comparant avec élection de domicile en l'étude de Maître STASTNY Pierre recourante contre OFFICE DE L'ASSURANCE-INVALIDITÉ DU CANTON DE GENÈVE, sis rue des Gares 12, GENÈVE intimé EN FAIT 1.        Madame A______, née le______ 1953, d’origine coréenne, musicienne de profession, au bénéfice d’une rente de veuve depuis 2008, a déposé le 21 mars 2014 une demande de prestations auprès de l’Office de l’assurance-invalidité du canton de Genève (ci-après OAI), alléguant souffrir d’une atteinte à la rétine depuis septembre 2012. ![endif]&gt;![if&gt; 2.        Dans un rapport du 13 mars 2014, le docteur B______, spécialiste FMH en ophtalmologie, a attesté que l’assurée présentait une mauvaise acuité visuelle de l’œil droit, limitée à 0,3, avec une importante myopie d’environ -15, à mettre en relation avec une atteinte de la rétine dans la zone maculaire. L’assurée présente de plus un probable hémangiome rétinien périphérique. Quant à l’œil gauche, il a une acuité visuelle de 8/10 e avec une myopie de -9. ![endif]&gt;![if&gt; 3.        Le Dr C______, spécialiste FMH en ophtalmologie, a indiqué que l’assurée souffrait d’une baisse de l’acuité visuelle de l’œil droit rapide en 2013. L’acuité visuelle de l’œil droit était de 0,4 et l’acuité de l’œil gauche de 1,0. Il a considéré que l’activité exercée était encore exigible à 100%, mais avec un rendement de 50%, dans la mesure où elle présentait des difficultés dans ses déplacements, une fatigabilité accrue à la lecture et des difficultés à travailler plus de trente minutes d’affilée. ![endif]&gt;![if&gt; 4.        Le Conservatoire de musique de Genève a informé l’OAI le 22 avril 2014 que l’assurée travaillait sur appel, remplaçant des enseignants absents. Elle a ainsi accompli 51 heures en 2013, 11 heures en 2012 et 15 heures en 2011, et que le dernier remplacement était intervenu le 3 mars 2014.![endif]&gt;![if&gt; 5.        Dans son rapport adressé à l’OAI le 1 er mai 2014, le Dr B______ a précisé que sa patiente souffrait d’une baisse de la vision de l’œil droit sur atteinte maculaire post vitrectomie et anisométropie et opération cataracte. Il a déclaré qu’une intervention pouvait être envisagée dans le futur pour améliorer l’anisométropie sans toutefois qu’il y ait possibilité d’améliorer la vision.![endif]&gt;![if&gt; 6.        Dans une note du 10 juin 2014, le médecin du Service médical régional AI (SMR) a considéré qu’il n’y avait pas d’atteinte à la santé durablement incapacitante, puisqu’aucune incapacité de travail n’était attestée médicalement. ![endif]&gt;![if&gt; 7.        L’assurée a été entendue après avoir pris connaissance du projet de refus du 27 juin 2014. Elle ne comprend pas pour quelle raison, il n’est pas tenu compte de la baisse de rendement de 50% attestée par le Dr C______. ![endif]&gt;![if&gt; 8.        Considérant qu’elle n’apportait pas d’élément médical nouveau, le médecin du SMR a confirmé ses conclusions.![endif]&gt;![if&gt; 9.        Par décision du 15 septembre 2014, l’OAI a rejeté la demande.![endif]&gt;![if&gt; 10.    L’assurée, représentée par Me Pierre STASTNY, a interjeté recours le 16 octobre 2014 contre ladite décision. Elle reproche à l’OAI de n’avoir pas motivé son refus et plus particulièrement de n’avoir pas expliqué pour quelle raison il s’écartait du point de vue du Dr C______, selon lequel elle présente un rendement diminué de 50%. Elle ne comprend pas comment une capacité de travail peut lui être reconnue, alors qu’elle ne peut travailler plus de trente minutes d’affilée, et souffre d’une forte diminution de sa capacité visuelle. Elle constate par ailleurs que l’OAI n’a procédé à aucune instruction ni sur l’aspect « psy », alors qu’elle a consulté Madame D______, psychologue, de septembre 2012 à septembre 2013, ni sur son incapacité dans l’accomplissement de ses activités habituelles quotidiennes. Elle conclut principalement à l’octroi de prestations AI, et subsidiairement au renvoi du dossier à l’OAI pour instruction complémentaire.![endif]&gt;![if&gt; 11.    Par courrier du 17 novembre 2014, elle a déclaré persister dans ses conclusions et sollicite l’audition de ses médecins, notamment le Dr C______.![endif]&gt;![if&gt; 12.    Dans sa réponse du 9 décembre 2014, l’OAI relève que l’ensemble des médecins de l’assurée a été questionné et qu’aucun d’eux n’a attesté d’une incapacité de travail durable. Il considère ainsi, sur la base de l’appréciation du SMR, qu’il n’y a pas d’atteinte à la santé durablement incapacitante. Il conclut au rejet du recours.![endif]&gt;![if&gt; 13.    Dans sa réplique du 19 décembre 2014, l’assurée, se référant au rapport du Dr C______, a contesté la position de l’OAI.![endif]&gt;![if&gt; 14.    Le 6 janvier 215, l’OAI a confirmé ses conclusions.![endif]&gt;![if&gt; 15.    Ce courrier a été transmis à l’assurée, et la cause gardée à juger.![endif]&gt;![if&gt;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3.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3).![endif]&gt;![if&gt; 4.        Le délai de recours est de 30 jours (art. 60 al. 1 LPGA). Interjeté dans la forme et le délai prévus par la loi, le recours est recevable, en vertu des art. 56ss LPGA.![endif]&gt;![if&gt; 5.        Le litige porte sur le droit de l’assurée à des prestations AI.![endif]&gt;![if&gt;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 er janvier 2008).![endif]&gt;![if&gt; 7.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références).![endif]&gt;![if&gt; 8.        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27bis RAI, ainsi que les art. 16 LPGA et 28 a al. 2 LAI en corrélation avec les art. 27 RAI et 8 al. 3 LPGA).![endif]&gt;![if&gt;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9.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10.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![endif]&gt;![if&gt; 11.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(ATFA non publiés I 308/04 et I 309/04 du 14 janvier 2005,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I 257/04 du 17 mars 2005, consid. 5.4.4).![endif]&gt;![if&gt; 12.    Lorsqu'il y a lieu d'appliquer la méthode mixte d'évaluation, l'invalidité des assurés pour la part qu'ils consacrent à leur activité lucrative doit être évaluée selon la méthode ordinaire de comparaison des revenus (art. 28 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non publié 9C_713/2007 du 8 août 2008, consid. 3.2).![endif]&gt;![if&gt; 13.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14.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15.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16.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3.3).![endif]&gt;![if&gt; 17.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18.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87).![endif]&gt;![if&gt; 19.    En l'espèce, le statut de l’assurée n’a pas été clairement défini, dans la mesure où l’OAI a certes retenu un statut mixte, mais n’a pas déterminé les pourcentages correspondant à la part active et à la part non active.![endif]&gt;![if&gt; Il s’avère que l’assurée travaillait sur appel pour le Conservatoire de musique de Genève, en remplacement d’enseignants absents. Elle a ainsi accompli 51 heures en 2013, ou 11 heures en 2012. On ignore si elle exerçait d’autres activités en sa qualité de musicienne. Le dossier ne permet pas en l’état de procéder au calcul d’un éventuel degré d’invalidité. Celui-ci doit en effet être calculé compte tenu de son statut. Si celui-ci doit être qualifié de mixte, il y a lieu de déterminer sa capacité de travail et de gain et de procéder à une comparaison des revenus pour la part active et sa capacité à accomplir ses travaux habituels pour l’autre part. 20.    S’agissant de la capacité de travail dans l’exercice d’une activité lucrative, il y a lieu de constater que le Dr C______ a estimé que celle-ci était entière dans la profession de musicienne, tout en précisant que l’état de santé de sa patiente impliquait une diminution de rendement de 50%. Or, l’OAI n’a pas tenu compte de cette diminution de rendement. A cet égard figure dans le dossier une question posée le 6 août 2014 au médecin du SMR et formulée comme suit :![endif]&gt;![if&gt; « Avant de notifier la décision de refus, confirmez-vous l’avis SMR du 7 mai 2014, à savoir que sans incapacité de travail médicalement attestée à ce jour, la baisse de rendement ne peut être prise en considération et ce malgré les difficultés que l’assurée prétexte éprouver dans l’exercice de son activité habituelle ? » Celui-ci répond qu’il suffira de rappeler que le Dr C______ a estimé que la capacité de travail restait de 100% dans l’activité habituelle. Or, non seulement le Dr C______ a précisé que le rendement était diminué de moitié, mais il a également mentionné un certain nombre de limitations fonctionnelles, soit des difficultés dans les déplacements, une fatigabilité accrue à la lecture, des difficultés à travailler plus de trente minutes d’affilée en tant que musicienne, une perte de la perception de la vision en profondeur, et une capacité de concentration limitée. Il proscrit toute activité demandant de marcher sur un terrain irrégulier ou de monter sur une échelle, un échafaudage, ou des escaliers. L’OAI enfin n’a mis en œuvre aucune enquête ménagère, alors qu’il a retenu un statut mixte. 21.    Force est ainsi de constater que le dossier n’est pas en état d’être jugé. Il se justifie, partant, de renvoyer le dossier à l’OAI pour instruction complémentaire. L’OAI devra déterminer précisément le statut de l’assurée, le cas échéant procéder à une enquête ménagère, et fixer la capacité de travail, compte tenu de la diminution de rendement. ![endif]&gt;![if&gt; 22.    Le recours est par conséquent admis.![endif]&gt;![if&gt;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