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A/3155/2021 vom 11. August 2022</w:t>
      </w:r>
    </w:p>
    <w:p>
      <w:r>
        <w:t>GE Cour de justice, 2022-08-11, FR</w:t>
      </w:r>
    </w:p>
    <w:p>
      <w:r>
        <w:rPr>
          <w:b/>
        </w:rPr>
        <w:t xml:space="preserve">Quelle: </w:t>
      </w:r>
      <w:r>
        <w:t>https://mcp.opencaselaw.ch/entscheid/ge_gerichte_A_3155_2021</w:t>
      </w:r>
    </w:p>
    <w:p>
      <w:r>
        <w:t>FR: GE_GERICHTE A/3155/2021 du 11 août 2022</w:t>
      </w:r>
    </w:p>
    <w:p>
      <w:r>
        <w:t>IT: GE_GERICHTE A/3155/2021 del 11 agosto 2022</w:t>
      </w:r>
    </w:p>
    <w:p>
      <w:pPr>
        <w:pStyle w:val="Heading2"/>
      </w:pPr>
      <w:r>
        <w:t>Erwägungen</w:t>
      </w:r>
    </w:p>
    <w:p>
      <w:r>
        <w:rPr>
          <w:b/>
        </w:rPr>
        <w:t>E. 3</w:t>
      </w:r>
    </w:p>
    <w:p>
      <w:r>
        <w:t>Le 1 er janvier 2017 est entrée en vigueur la modification du 25 septembre 2015 de la LAA. Dans la mesure où l'accident est survenu 10 janvier 2014, soit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w:t>
      </w:r>
    </w:p>
    <w:p>
      <w:r>
        <w:rPr>
          <w:b/>
        </w:rPr>
        <w:t>E. 4</w:t>
      </w:r>
    </w:p>
    <w:p>
      <w:r>
        <w:t>Dans le sillage de la modification du 19 juin 2020 (développement continu de l’AI) de la loi fédérale sur l’assurance-invalidité du 19 juin 1959 (LAI – RS 831.20), la LPGA a également connu plusieurs modifications – incluant l’art. 44 sur l’expertise – qui sont entrées en vigueur le 1 er janvier 2022. ![endif]&gt;![if&gt;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Sur le plan de la procédure, les nouvelles dispositions y relatives sont applicables, sauf dispositions transitoires contraires, à tous les cas en cours, dès l’entrée en vigueur du nouveau droit (ATF 129 V 113 consid. 2.2). Ceci concerne en particulier les dispositions du chapitre 4 de la LPGA (« Dispositions générales de procédure »), soit les art. 27-62 LPGA (cf. ATF 130 V 1 consid. 3.2). Étant donné qu’en l’espèce, la décision sur opposition litigieuse a été rendue le 3 août 2021, soit avant le 1 er janvier 2022, il y a lieu d’examiner le litige à la lumière des dispositions de la LPGA dans leur teneur en vigueur jusqu’au 31 décembre 2021 (cf. ATF 129 V 113 consid. 2.2 pour une problématique similaire). Sauf précision contraire expresse, les dispositions légales applicables seront donc citées, ci-après, dans leur teneur en vigueur jusqu’à cette date.</w:t>
      </w:r>
    </w:p>
    <w:p>
      <w:r>
        <w:rPr>
          <w:b/>
        </w:rPr>
        <w:t>E. 5</w:t>
      </w:r>
    </w:p>
    <w:p>
      <w:r>
        <w:t>Interjeté dans la forme et le délai prévus par la loi, compte tenu de la suspension des délais pendant la période du 15 juillet au 15 août inclusivement (art. 38 al. 4 let. b LPGA et art. 89C let. b de la loi sur la procédure administrative du 12 septembre 1985 [LPA – E 5 10]), le recours est recevable (art. 56ss LPGA et 62ss LPA).![endif]&gt;![if&gt;</w:t>
      </w:r>
    </w:p>
    <w:p>
      <w:r>
        <w:rPr>
          <w:b/>
        </w:rPr>
        <w:t>E. 6</w:t>
      </w:r>
    </w:p>
    <w:p>
      <w:r>
        <w:t>Le litige porte sur le droit du recourant à une rente d’invalidité, singulièrement sur le respect de ses droits de participation (désignation consensuelle des experts), l’existence de motifs de récusation à l’encontre des Drs G______ et H______ et la valeur probante à accorder aux rapports de ces médecins.![endif]&gt;![if&gt;</w:t>
      </w:r>
    </w:p>
    <w:p>
      <w:r>
        <w:rPr>
          <w:b/>
        </w:rPr>
        <w:t>E. 7</w:t>
      </w:r>
    </w:p>
    <w:p>
      <w:r>
        <w:t>![endif]&gt;![if&gt;</w:t>
      </w:r>
    </w:p>
    <w:p>
      <w:r>
        <w:rPr>
          <w:b/>
        </w:rPr>
        <w:t>E. 7.1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7.3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Comme indiqué précédemment, l’administration ou le juge examine la question de l’existence d’un lien de causalité naturelle en se fondant essentiellement sur des renseignements d'ordre médical.![endif]&gt;![if&gt;</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8.3.2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8.3.3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![endif]&gt;![if&gt;</w:t>
      </w:r>
    </w:p>
    <w:p>
      <w:r>
        <w:rPr>
          <w:b/>
        </w:rPr>
        <w:t>E. 9.1</w:t>
      </w:r>
    </w:p>
    <w:p>
      <w:r>
        <w:t>Selon l’art. 44 LPGA, dans sa teneur en vigueur jusqu’au 31 décembre 2021,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(ATF 146 V 9 consid. 4.2). Lorsque l'assureur social et l'assuré ne s'entendent pas sur le choix de l'expert, l'administration doit rendre une décision directement soumise à recours (ATF 137 V 210 consid. 3.4.2.6; 138 V 318 consid. 6.1). Il s’agit là d’une décision incidente au sens de l’art. 5 al. 2 PA et plus particulièrement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respectivement auprès du Tribunal administratif fédéral (ATF 138 V 318 consid. 6.1 ; ATF 137 V 210 consid. 3.4.2.6 et 3.4.2.7 ; voir également arrêt du Tribunal fédéral 8C_452/2020 du 7 octobre 2021 consid. 2.4.1). L’art. 44 LPGA a été modifié avec effet au 1 er janvier 2022. En substance, il intègre désormais la jurisprudence récente du Tribunal fédéral, notamment l’obligation de rendre une décision incidente en cas de désaccord sur le choix de l’expert (al. 4). Les art. 7j ss de l’ordonnance sur la partie générale du droit des assurances sociales du 11 septembre 2002 (OPGA - RS 830.11) précisent, quant à eux l’art. 44 LPGA dans sa nouvelle teneur. Ces dispositions intègrent la recherche d’un consensus (art. 7j OPGA) et prévoient certaines exigences concernant les experts (art. 7m OPGA)</w:t>
      </w:r>
    </w:p>
    <w:p>
      <w:r>
        <w:rPr>
          <w:b/>
        </w:rPr>
        <w:t>E. 9.2</w:t>
      </w:r>
    </w:p>
    <w:p>
      <w:r>
        <w:t>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ou son manque d’adéquation personnelle (ATF 132 V 93 consid. 6.5 ; ATF 137 V 210 consid. 3.4.2.7; ATF 138 V 271 consid. 1.1). 9.3.1. S’agissant des motifs de récusation formels d’un expert, il y a lieu selon la jurisprudence d’appliquer les mêmes principes que pour la récusation d’un juge (ATF 137 V 210 consid. 2.1.3; 132 V 93 consid. 7.1; 120 V 357 consid. 3a) et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(arrêt du Tribunal fédéral 8C_452/2020 du 7 octobre 2021 consid. 2.3.1 et les arrêts cités). 9.3.2.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128 V 82 consid. 2a ; arrêt du Tribunal fédéral 8C_452/2020 du 7 octobre 2021 consid. 2.3.2). Selon l'art. 58 al. 1 PCF [RS 273], applicable par renvoi de l'art. 55 LPGA à travers l'art. 19 PA, les cas de récusation prévus à l'art. 34 LTF s'appliquent par analogie à la récusation des experts. Selon l'art. 34 let. e LTF - qui, à l'instar de l'art. 56 let. f du code de procédure pénale du 5 octobre 2007 [CPP; RS 312.0] ou de l'art. 47 al. 1 let. f du code de procédure civile du 19 décembre 2008 [CPC; RS 272], ne fait que concrétiser les principes découlant de l'art. 6 par. 1 CEDH et de l'art. 30 al. 1 Cst. et a la portée d'une clause générale (ATF 143 IV 69 consid. 3.2; arrêt 4A_586/2008 du 12 juin 2009 consid. 2) -, un juge peut être récusé s'il peut être prévenu de toute autre manière, notamment en raison d'une amitié étroite ou d'une inimitié personnelle avec une partie ou son mandataire. En ce qui concerne l'inimitié, il faut qu'il y ait un antagonisme passionné (« leidenschaftliche Gegnerschaft ») ou à tout le moins un différend marqué (« besonderes Zerwürfnis ») ou des tensions prononcées (« ausgeprägte Spannungen ») entre le juge et une partie, ce qui, d'un point de vue objectif, suggère une inimitié. Ainsi, un juge qui a déposé une plainte pénale et pris des conclusions civiles en réparation du tort moral pour atteinte à l'honneur est tenu de se récuser dans une procédure ultérieure impliquant l'auteur de l'atteinte. En revanche, de simples déclarations d'un magistrat portant une appréciation sur la personne ou le comportement d'une partie (« wertende Äusserungen ») doivent être interprétées de manière objective, en tenant compte de leur contexte, de leurs modalités et du but apparemment recherché par leur auteur. Ainsi, par exemple, le seul fait qu'un juge ait utilisé dans son jugement des termes inadéquats et contraires à l'exigence d'humanité et de respect du justiciable (traitant celui-ci de «  justiciable querelleur, menteur, ergoteur et vindicatif », ayant « des comportements querelleurs, ergoteurs et pénibles que rien n'excuse ») ne justifie pas sa récusation lorsqu'aucune marque de prévention antérieure à la rédaction du jugement de condamnation ne ressortait du procès-verbal ou du déroulement de l'audience (arrêt du Tribunal fédéral 8C_ 452/2020 du 7 octobre 2021 consid. 2.3.3). Par ailleurs, sous l’angle des relations économiques,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 arrêt du Tribunal fédéral 9C_635/2018 du 5 décembre 2018 consid. 3). 9.4.1. Dans un arrêt de principe publié à l'ATF 137 V 210 , le Tribunal fédéral a modifié sa jurisprudence antérieure (ATF 132 V 93 ) selon laquelle la mise en œuvre d'une expertise par l'assureur social ne revêtait pas le caractère d'une décision; il a jugé qu'en l'absence d'accord entre les parties, une telle mise en œuvre devait revêtir la forme d'une décision pouvant être attaquée devant les tribunaux cantonaux des assurances sociales, respectivement devant le Tribunal administratif fédéral (consid. 3.4.2.6 et 3.4.2.7). Par la suite, le Tribunal fédéral a précisé que, dans le domaine de l'assurance-accidents également, il fallait ordonner une expertise en cas de désaccord, par le biais d'une décision incidente sujette à recours auprès du tribunal cantonal des assurances, respectivement auprès du Tribunal administratif fédéral (ATF 138 V 318 consid. 6.1). À l'ATF 139 V 349 , le Tribunal fédéral a considéré qu'il était conforme au droit de limiter l'attribution des mandats d'expertise selon le principe aléatoire - tel que requis depuis l'ATF 137 V 210 pour les mandats d'expertises médicales confiées à un COMAI - aux expertises comprenant trois ou plus de trois disciplines médicales selon l'art. 72bis RAI (consid. 2.2 et 5.4). Il a relevé que pour les expertises médicales mono- et bidisciplinaires qui n'étaient pas attribuées selon le principe aléatoire (consid. 4.2), l'incombance (Obliegenheit) de l'Office AI et de la personne assurée de s'efforcer d'aboutir à une désignation consensuelle de l'expert ou des experts prenait une importance particulière et que, lorsqu'il entendait confier une telle expertise à un COMAI, l'Office AI avait l'obligation d'entreprendre cette procédure de désignation consensuelle (consid. 5.4). 9.4.2. La Cour de céans a déjà été amenée à examiner la question de la désignation consensuelle de l’expert dans une procédure où le conseil du recourant invoquait à l’encontre du Dr G______ des motifs de récusation identiques à ceux présentement évoqués (A/2926/2019 - ATAS/444/2020 du 8 juin 2020). Dans son ATAS/444/2020 , la Cour de céans a commencé par rappeler la jurisprudence du Tribunal fédéral relative à la procédure de désignation consensuelle de l'expert. Elle a ensuite précisé qu'elle avait été amenée à rendre des arrêts de principe sur le sujet en 2013, dans lesquels elle avait jugé qu'indépendamment des griefs invoqués par l'assuré à l'encontre de l'expert, la cause devait être renvoyée à l'Office AI, au motif que ce dernier n'avait pas essayé de parvenir à un accord avec l'assuré sur le choix de l'expert, ce qui violait les droits de participation de l'assuré dans la procédure de désignation de l'expert ( ATAS/226/2013 du 28 février 2013 et ATAS/263/2013 du 13 mars 2013). Toutefois, ces deux arrêts, qu'elle a ensuite régulièrement mentionnés dans sa jurisprudence, ont été rendus en matière d'assurance-invalidité et ce, antérieurement à l'ATF 139 V 349 , dans lequel le Tribunal fédéral a évoqué une incombance. En revanche, le Tribunal administratif fédéral et plusieurs juridictions cantonales se sont prononcés postérieurement à l'ATF 139 V 349 précité et ont, de manière générale, considéré que l'assuré n'avait pas de droit justiciable à la mise en œuvre d'une expertise sur une base consensuelle (cf. arrêt du Tribunal administratif fédéral C-463/2013 du 1 er mai 2014; arrêt de la Cour des assurances sociales du canton de Vaud Al 143/12 du 26 août 2013; arrêt du Tribunal des assurances sociales de Bâle-Ville IV.2018.37 du 23 juillet 2018; arrêts du Tribunal des assurances sociales du canton de Zurich UV.2019.00276 du 13 mars 2020, UV.2017.00202 du 23 février 2018 et IV.2016.00514 du 8 novembre 2016; arrêt du Tribunal administratif, division des assurances sociales, du canton de Berne 200 17 517 IV du 29 août 2017; arrêt de la Cour de justice d'Appenzell Rhodes-Extérieures O3V 14 15 du 18 février 2015). La Cour de céans a donc retenu qu’au vu de l'ATF 139 V 349 , il fallait considérer que la désignation consensuelle d'un expert ne constituait pas un droit pouvant être déduit en justice; il s'agissait d'une simple incombance et non d'une obligation; le le caractère obligatoire de la procédure de désignation consensuelle se limitait aux cas dans lesquels l'Office AI souhaitait confier une expertise mono- ou bidisciplinaire à un COMAI. En effet, le Tribunal fédéral avait considéré que dans de tels cas, il existait un risque d'abus de la part de l'OAI, en ce sens que cet office pourrait être tenté de renoncer à une ou plusieurs disciplines médicales pour s'épargner la procédure d'attribution aléatoire prévalant en cas d'expertises pluridisciplinaires (ATF 139 V 349 consid. 5.4; arrêt 9C_718/2013 du 12 août 2014 consid. 4). En revanche, il n’était pas nécessaire de prévoir un tel correctif en matière d'assurance-accidents, domaine dans lequel la procédure d'attribution ne s'appliquait pas. La Cour de céans a enfin considéré que dans la cause qui lui était soumise, c'était à juste titre qu’en l'absence de consensus sur le choix de l'expert, l’assurance intimée avait statué sur la question par une décision incidente, dans laquelle elle avait motivé sa position, sans qu'un nouvel échange à ce propos fût nécessaire. Au surplus, il ressortait des écritures du recourant que celui-ci était catégoriquement opposé à la désignation de l’expert en question. Or, dans de telles circonstances, renvoyer la cause pour une désignation consensuelle de l'expert reviendrait à reconnaître un droit de véto au recourant et à exiger de l'intimée qu'elle renonce à l'expert choisi afin d'arriver à un consensus, ce qui ne correspondait pas à la jurisprudence fédérale. Sur recours, le Tribunal fédéral a confirmé l’ ATAS/444/2020 par arrêt 8C_452/2020 du 7 octobre 2021. Au considérant 4.2 de son arrêt, notre Haute Cour a considéré que la question de savoir s’il existait un droit justiciable à la désignation consensuelle de l’expert en matière d’assurance-accidents pouvait rester indécise. Il n'était en effet pas contesté que le principe de l’attribution aléatoire des mandats d’expertises pluridisciplinaires développé en matière d’assurance-invalidité (art. 72 bis RAI) ne s’appliquait pas à l’assurance-accidents. Si l’assureur-accidents – comme l’office AI pour les expertises mono- ou bi-disciplinaires –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lui reconnaître un droit de veto. Le Tribunal fédéral a d’ailleurs précisé que, même en cas d’objection justifiée de l’assuré, l’assureur n’est pas tenu de suivre sans autre ses contre-propositions.</w:t>
      </w:r>
    </w:p>
    <w:p>
      <w:r>
        <w:rPr>
          <w:b/>
        </w:rPr>
        <w:t>E. 9.5</w:t>
      </w:r>
    </w:p>
    <w:p>
      <w:r>
        <w:t>Lorsque l'assureur ordonne une expertise avant de rendre une décision au sens de l'art. 49 LPGA, il doit respecter le droit de l'assuré d'être entendu à ce stade déjà.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(ATF 120 V 357 consid. 2b ; RAMA 2000 n° U 369 p. 104 consid. 2b; arrêt du Tribunal fédéral des assurances U 265/04 du 23 septembre 2005 consid. 2.3). Le juge des assurances peut examiner l'éventuelle violation du droit d'être entendu aussi bien sur contestation d'une partie que d'office (ATF 120 V 362 consid. 2a ; cf. aussi ZIMMERLI, Zum rechtlichen Gehör im sozialversicherungs-rechtlichen Verfahren, in Festschrift 75 Jahre EVG, Berne 1992, p. 326 ; ATAS/884/2019 consid. 4 ; ATAS/174/2018 consid. 14).</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10.2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10.2.1</w:t>
      </w:r>
    </w:p>
    <w:p>
      <w:r>
        <w:t>Dans son ATAS/444/2020 du 8 juin 2020, la Cour de céans a déjà été amenée à examiner l’existence d’une inimitié entre le Dr G______ et Me MAUGUE. A cette occasion, la Cour de céans a considéré que les propos reprochés au médecin précité, pour autant qu'ils aient été effectivement tenus, l'avaient été dans le cadre de l'expertise d'un autre assuré que le recourant. Le comportement reproché au Dr G______ ne semblait pas avoir fait l'objet d'une dénonciation à la commission de surveillance des professions de la santé et des droits des patients, autorité de surveillance des médecins. De même, le comportement reproché à Me MAUGUÉ n'avait pas été porté à la connaissance du Bâtonnier ou de la Commission du barreau. Du moins, aucune des parties ne le prétendait. Il ne ressort pas non plus de l' ATAS/818/2017 auquel il était fait référence dans les écritures produites dans la procédure ayant conduit à l’ ATAS/444/2020 , que le comportement du Dr G______ aurait eu des répercussions sur l'appréciation faite par ce médecin, la valeur probante de son rapport n'ayant en particulier été remise en question, ni par l'assuré, ni par la Cour (cf. ATAS/753/2016 du 22 septembre 2016 [ordonnance d'expertise]). Enfin, l'expertisé ne prétendait pas non plus que lesdites dissensions, pour autant qu'elles aient existé, auraient perduré au-delà de la procédure ayant conduit à l' ATAS/818/2017 . Compte tenu de ce qui précède, la Cour de céans a considéré qu’en réalité, les commentaires du Dr G______, pour autant qu'ils aient effectivement été tenus, l'avaient été dans une procédure particulière, à laquelle les prétendues dissensions entre l'expert et le conseil susmentionné semblaient se limiter. Dans ces circonstances, on ne pouvait parler d'inimitié entre l'expert et l'avocat de l'expertisé. Partant, c'était à juste titre que l'assureur avait refusé de récuser le Dr G______. Sur recours, le Tribunal fédéral a encore ajouté que le fait que le Dr G______ ait mal pris les critiques dont il avait fait l'objet de la part de Me Maugué alors que ce dernier défendait une autre assurée une demi-douzaine d'années plus tôt ne permettait nullement de retenir qu'il existerait encore entre le premier - qui n'avait pas saisi la justice pénale ou civile, ni même la commission du Barreau - et le second, un antagonisme passionné ou même seulement des tensions prononcées de nature à jeter un doute sur l'impartialité de l'expert (cf. arrêt 8C_452/2020 du 7 octobre 2021). Dans la mesure où, dans le cas présent, le recourant fait également grief au Dr G______ de son "inimité" avec son conseil, ce qui a été dit dans l’ ATAS/444/2020 et dans l’arrêt du Tribunal fédéral 8C_452/2020 du 7 octobre 2021 trouve application mutatis mutandis. Ce premier motif de récusation est donc écarté, puisque non valable. 11.2.2. Concernant le second motif de récusation invoqué tant à l’encontre du Dr G______ que du Dr H______, à savoir leur supposé lien de dépendance économique avec l’intimée, il n’est pas suffisant au vu de la jurisprudence constante en la matière (consid. 9.3.2 supra). Au demeurant, le recourant l’a implicitement admis, dès lors qu’il n’a plus fait valoir ce motif de récusation dans son recours. 11.2.3. S’agissant ensuite de la désignation consensuelle des experts, force est de constater que, comme cela ressort de l’arrêt du Tribunal fédéral 8C_452/2020 du 7 octobre 2021 confirmant l’ ATAS/444/2020 rendu le 8 juin 2020 par la Cour de céans, notre Haute Cour a clairement rejeté la conception selon laquelle un expert ne pourrait être désigné qu'avec le consentement de l'assuré dès que celui-ci émet des objections sur la personne de l'expert, car cela reviendrait à reconnaître un droit de veto à l'assuré, étant souligné que, même en cas d'objection justifiée de l'assuré, l'assureur n'est pas tenu de suivre sans autre ses contre-propositions. Dans le même arrêt, le Tribunal fédéral a retenu que, comme le motif de récusation invoqué s’était avéré dénué de fondement, l'intimée n'avait pas, en l'absence de toute objection de nature matérielle, à continuer de rechercher une désignation consensuelle de l'expert. La présente situation est en tous points identiques à celle ayant conduit à l’ ATAS/444/2020 du 8 juin 2020 confirmé par le Tribunal fédéral dans son arrêt 8C_452/2020 du 7 octobre 2021. Par conséquent, ce qui a été dit par ces deux juridictions en lien avec la désignation consensuelle s’applique mutatis mutandis à la présente cause. 11.2.3. Force est toutefois de constater que, quand bien même le recourant n’a aucun droit à la désignation consensuelle de l’expert et même si les griefs invoqués ne sont pas constitutifs d’un motif de récusation, l’intimée aurait dû statuer sur leur rejet par décision incidente, susceptible de recours. En ne le faisant pas, elle a manifestement violé les droits de participation du recourant dans la procédure de désignation de l'expert et, par conséquent, son droit d’être entendu, violation qui peut être soulevée d’office par la Cour de céans. Ce vice ne saurait être réparé dans la présente procédure, dès lors que l'expertise constitue l'élément central et prépondérant de l'instruction. Les rapports des Drs G______ et H______ doivent donc être écartés, dès lors qu’ils ont été obtenus en violation des droits de participation du recourant. En conséquence, il incombe à l'intimée de mettre en œuvre une nouvelle expertise orthopédique et neurologique.</w:t>
      </w:r>
    </w:p>
    <w:p>
      <w:r>
        <w:rPr>
          <w:b/>
        </w:rPr>
        <w:t>E. 11</w:t>
      </w:r>
    </w:p>
    <w:p>
      <w:r>
        <w:t>En l’espèce, le recourant critique, d’une part, la procédure de désignation du Dr G______ en tant qu’expert et, d’autre part, la valeur probante des rapports des Drs G______ et H______.![endif]&gt;![if&gt;</w:t>
      </w:r>
    </w:p>
    <w:p>
      <w:r>
        <w:rPr>
          <w:b/>
        </w:rPr>
        <w:t>E. 11.1</w:t>
      </w:r>
    </w:p>
    <w:p>
      <w:r>
        <w:t>Le recourant a été victime d’un accident le 10 janvier 2014, ayant entraîné une fracture du scaphoïde gauche, des douleurs post-traumatiques au niveau de son arthrose trapézo-métacarpienne du pouce gauche et, dans un deuxième temps, le 11 février 2014, un accident vasculaire cérébral (AVC) ischémique cérébelleux gauche sur probable dissection de l’artère vertébrale. Après avoir rassemblé d’autres rapports et soumis le cas de l’assuré à ses médecins-conseils, la SUVA a, par décision du 1 er septembre 2017, confirmée sur opposition le 29 décembre 2017, considéré qu’une activité adaptée aux limitations fonctionnelles énoncées (pas de port de charges de plus de 10 kg avec la main gauche, ni mouvements répétitifs du poignet gauche, ni travail en hauteur) était désormais exigible à 100%. Après comparaison des revenus, la SUVA a alloué à l’assuré, à compter du 1 er août 2016, une rente d’invalidité de 18% et une indemnité pour atteinte à l’intégrité de CHF 25'200.- correspondant à un taux de 20%. Sur recours, la Cour de céans a annulé la décision sur opposition précitée et renvoyé la cause à la SUVA à charge pour cette dernière de compléter l'instruction en sollicitant les rapports médicaux pertinents qui faisaient défaut, puis en mettant en œuvre une expertise multidisciplinaire comprenant des volets neurologique, orthopédique et neuropsychologique, voire, au besoin, rhumatologique et psychiatrique. Les experts devaient en particulier se prononcer sur la date à compter de laquelle il n’y avait plus eu lieu d'attendre de la continuation du traitement médical une sensible amélioration de l'état de l’assuré, sur la capacité de travail de ce dernier dans les deux activités habituelles et dans une activité adaptée (taux, rendement, limitations fonctionnelles), compte tenu de l’ensemble de ses atteintes à la santé en lien de causalité avec l’accident, ainsi que sur le taux de l’indemnité pour atteinte à l’intégrité. L'intimée a informé le recourant de la mise en œuvre de l'expertise ordonnée par la Cour et lui a communiqué le nom des médecins pressentis, ainsi que la liste des questions qui leur seraient posées. Comme décrit dans la partie en fait du présent arrêt, le recourant s'est opposé à la désignation des Drs G______ et H______, arguant en substance qu'ils entretenaient « des liens de dépendance économique étroits avec les assurances figurant, selon toute vraisemblance, sur une liste fermée auxquels (sic) recourait [l'assurance] systématiquement ». Par la suite, une fois les rapports d'expertise rendus, le recourant a en outre fait valoir que le Dr G______ s’en était pris « vertement » à son conseil, ce qui démontrait qu’il ne savait pas faire la part des choses entre attaques ad hominem et sa mission d’expertise. En résumé, le recourant invoque plusieurs motifs de récusation à l’encontre des Drs G______ et H______ (inimitié, dépendance économique et manque d’expérience) et reproche à l’intimée de ne pas avoir respecté l’obligation de tenter une désignation consensuelle.</w:t>
      </w:r>
    </w:p>
    <w:p>
      <w:r>
        <w:rPr>
          <w:b/>
        </w:rPr>
        <w:t>E. 11.3</w:t>
      </w:r>
    </w:p>
    <w:p>
      <w:r>
        <w:t>Par surabondance, la Cour de céans relève encore que les rapports des Drs G______ et H______ n’échappent pas à la critique sur le fond.</w:t>
      </w:r>
    </w:p>
    <w:p>
      <w:r>
        <w:rPr>
          <w:b/>
        </w:rPr>
        <w:t>E. 11.3.1</w:t>
      </w:r>
    </w:p>
    <w:p>
      <w:r>
        <w:t>Dans son rapport du 7 avril 2020, le Dr G______ a expliqué que, dans les suites immédiates et différées de l’accident du 10 janvier 2014, outre la problématique au poignet gauche, le recourant s’est plaint de douleurs latéro-cervicales et hémicrâniennes gauches, ainsi que de douleurs hémicorporelles gauches liées aux diverses contusions. La situation est restée stationnaire jusqu’au 11 février 2014, avec des hémicrânies, des cervicalgies et une limitation douloureuse de la mobilité du poignet. Le 11 février 2014, le recourant a été victime d’un AVC ischémique cérébelleux gauche dans le territoire de la PICA, sur occlusion de l’artère vertébrale gauche, vraisemblablement sur dissection de cette dernière (rapport p. 29). L'expert a reconnu que l’accident était une cause partielle de l’atteinte neurologique, les facteurs traumatiques ayant vraisemblablement joué un rôle prédominant sur les facteurs vasculaires maladifs dans le déclenchement des troubles, même s’il n’est pas exclu que préexistaient sur l’artère vertébrale gauche des dépôts athéromateux ayant favorisé la survenue de la dissection et de l’AVC (cf. rapport p. 34). Les troubles neurologiques proprement dits (troubles de l’équilibre et vertiges) ont disparu, la seule anomalie subsistant étant une très discrète dysmétrie à la limite du significatif au niveau du membre supérieur gauche, laquelle n’entraîne toutefois pas de limitations fonctionnelles significatives dans les actes de la vie quotidienne (AVQ) et potentiellement dans les activités professionnelles antérieures. En conséquence, le Dr G______ a évoqué une stabilisation de l’état de santé du recourant au 11 février 2015, soit un an après l’AVC (cf. rapport p. 34, 36 et 37) avec un retour au statu quo ante/ sine à cette même date (cf. rapport p. 34). Quant aux troubles neuropsychologiques, ils n’interfèrent pas, selon lui, dans les actes de la vie quotidienne et n’auraient pas dû entraîner, à terme, de limitations fonctionnelles et d’incapacité de travail significative dans les activités de chauffeur poids lourds et de nettoyeur, activités qui ne nécessitent pas de compétences neuropsychologiques particulièrement performantes. Le Dr G______ n’arrive d’ailleurs pas à se prononcer clairement sur le lien de causalité naturelle entre les troubles neuropsychologiques et l’accident assuré. Il est d’avis qu’il y a des marqueurs indubitables de troubles cérébro-vasculaires modérés mais multiples évoquant le diagnostic d’atteinte microvasculaire cérébrale multiple, d’origine athéromateuse, favorisée par l’hypertension artérielle et le diabète. En l’absence de troubles d’origine dysthymiques, reste uniquement le contexte d’une microangiopathie multiple jouant vraisemblablement un rôle déterminant dans les troubles persistants, même si l’AVC lui-même a pu jouer, à un moment donné, un rôle prédominant dans les troubles neuropathologiques (rapport p. 35). Force est toutefois de constater que les explications de l'expert restent peu claires sur des questions indispensables à la résolution du litige. Ainsi, le Dr G______ admet, d’une part, que l’accident assuré est une cause partielle de l’AVC et que ce dernier a joué un rôle, à tout le moins à un moment donné, dans les troubles neuropsychologiques persistants. Cependant, cette appréciation du lien de causalité est très vague. En effet, on sait que le recourant souffre de troubles neurologiques dus, à tout le moins un moment donné, à l’AVC, lui-même en lien de causalité, à tout le moins partiel, avec l’accident assuré. On ne sait toutefois pas depuis quelle date ces troubles ne seraient plus dus à l’AVC, ne serait-ce que partiellement, et pourquoi. A un moment donné, le Dr G______ évoque la date du 11 février 2015 pour la stabilisation de l’état neurologique et un retour au statu quo . Cette date ne semble toutefois pas concerner les troubles neuropsychologiques en tant que tels mais uniquement les troubles neurologiques à proprement parler, soit les vertiges et les pertes d’équilibre. Certes, l’intimée a versé des indemnités journalières jusqu’au 31 juillet 2016, une rente d’invalidité ayant pris le relais à cette date, de sorte que la date exacte de la stabilisation, tant qu’elle est antérieure à la suppression des prestations, n’est pas primordiale pour la résolution du présent litige. Cela étant, le défaut de motivation sur ce point est un élément qui permet de douter de la crédibilité du rapport dans son ensemble. En outre, l’appréciation des répercussions sur la capacité de travail des troubles neuropsychologiques n’est pas non plus expliquée. On peine à comprendre comment une personne souffrant de troubles neuropsychologiques qualifiés de modérés à sévères peut encore exercer la profession de chauffeur de poids-lourds, dont les conditions d’exercice sont strictes et réévaluées régulièrement. Par ailleurs, le recourant se plaint encore d’hémicrânies gauches, mais le neurologue ne s’est pas attardé à leur propos. Or, ces points sont essentiels pour la prise de décision de la SUVA.</w:t>
      </w:r>
    </w:p>
    <w:p>
      <w:r>
        <w:rPr>
          <w:b/>
        </w:rPr>
        <w:t>E. 11.3.2</w:t>
      </w:r>
    </w:p>
    <w:p>
      <w:r>
        <w:t>Pour sa part, le Dr H______ a expliqué, dans son rapport du 31 mars 2020, que, suite à son accident de scooter, l’assuré a subi, sur le plan orthopédique, des contusions multiples du membre supérieur et du membre inférieur gauche et une fracture in situ du scaphoïde gauche. Les contusions ont rapidement guéri, sans séquelle. Le scaphoïde gauche est consolidé, sans déplacement secondaire, ni incongruence ou arthrose post-traumatique. Cette fracture s’est cependant compliquée d’une algoneurodystrophie de Südeck du poignet gauche, restée invalidante toute l’année 2014 pour finalement évoluer de façon favorable. En janvier 2015, l’état de la main gauche était considéré comme compatible avec une reprise du travail, même si une certaine limitation fonctionnelle douloureuse a persisté jusqu’en 2016, manifestement liée à l’algoneurdystrophie de Südeck au décours. Depuis lors, le traitement du poignet gauche a été arrêté et l’assuré lui-même considère que les plaintes résiduelles au niveau du poignet gauche ne sont pas invalidantes. Il n’a pas repris la conduite d’une voiture en raison de ses troubles neuropsychologiques. Après avoir étudié le dossier et les images radiologiques et examiné le recourant, le Dr H______ a retenu les diagnostics de modestes arthralgies à l’effort du poignet gauche, non invalidantes, status après algoneurodystrophie de Südeck post-traumatique du poignet gauche, invalidante en 2014, non invalidante depuis début 2015, puis disparu depuis 2016/2017 et status après facture in situ du scaphoïde gauche le 10 janvier 2014, traitée conservativement avec consolidation anatomique, sans séquelle post-traumatique objectivable et a considéré que l’atteinte au poignet gauche s’était stabilisée en 2016-2017. Une pleine capacité de travail avait été attestée à compter du 5 janvier 2015 et l’état du poignet s’était encore amélioré par la suite. Au jour de l’expertise, en l’absence de limitation fonctionnelle significative, il n’y avait pas de diminution de la capacité de travail comme chauffeur livreur et nettoyeur. Force est de constater que seuls les médecins de l’Unité de chirurgie de la main des HUG ont évoqué, le 19 décembre 2014, une reprise du travail à 100% dès le 5 janvier 2015 (cf. rapport du Dr H______ p. 5). Il ressort toutefois de l’anamnèse faite par l’expert que les médecins ont continué d’attester une incapacité de travail de 100% tout au long de l’année 2015 (cf. rapport du Dr H______ p. 6). A une page d’intervalle, le Dr H______ évoque donc une capacité totale de travailler dès le 5 janvier 2015 et une incapacité totale de travailler en 2015. Au vu de cette contradiction, il lui appartenait d’expliquer de manière circonstanciée les raisons pour lesquelles il a retenu le 5 janvier 2015 comme date à compter de laquelle une capacité de travail totale était retenue. Il ressort de ce qui précède que le rapport du Dr H______ est contradictoire et non motivé sur un point essentiel pour se prononcer sur la fin du droit aux prestations. 11.4.3. Eu égard aux considérations qui précèdent, les rapports des Drs G______ et H______ ne sont pas probants, dès lors qu’ils ne sont pas motivés sur des points essentiels pour la prise de décision de l’intimée. De plus, une appréciation consensuelle s’avérait nécessaire au vu des conclusions prises par les médecins. Il est en effet pour le moins surprenant que les experts n’aient pas discuté de l’absence de trouble psychique et, suite à cette constatation, procédé à des examens plus approfondis. En effet, à plusieurs reprises, il est question d’un trouble psychique venant se surajouter aux troubles neurologiques. Toutefois, le Dr I______ a exclu une composante psychiatrique à la pathologie du recourant, sans que le neurologue et la neuropsychologue n’en tirent des conclusions dans leur domaine de spécialisation.</w:t>
      </w:r>
    </w:p>
    <w:p>
      <w:r>
        <w:rPr>
          <w:b/>
        </w:rPr>
        <w:t>E. 12</w:t>
      </w:r>
    </w:p>
    <w:p>
      <w:r>
        <w:t>Pour l’ensemble de ces motifs, la décision sur opposition du 3 août 2021 doit être annulée et la cause renvoyée à la SUVA pour mise en œuvre, dans le respect des droits de participation du recourant, d’une expertise bidisciplinaire, orthopédique et neurologique, et appréciation consensuelle avec les Drs I______ et Madame J______.![endif]&gt;![if&gt; Le recours est admis. Le recourant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